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3B" w:rsidRPr="00DC2E0A" w:rsidRDefault="00E95E3B" w:rsidP="00E95E3B">
      <w:pPr>
        <w:pStyle w:val="vlevo"/>
        <w:jc w:val="center"/>
        <w:rPr>
          <w:b/>
        </w:rPr>
      </w:pPr>
      <w:r w:rsidRPr="00DC2E0A">
        <w:rPr>
          <w:b/>
        </w:rPr>
        <w:t>Důvodová zpráva</w:t>
      </w:r>
    </w:p>
    <w:p w:rsidR="00E95E3B" w:rsidRPr="001F49C0" w:rsidRDefault="00E95E3B" w:rsidP="00E95E3B">
      <w:pPr>
        <w:pStyle w:val="vlevo"/>
      </w:pPr>
    </w:p>
    <w:p w:rsidR="00E95E3B" w:rsidRPr="007513ED" w:rsidRDefault="00E95E3B" w:rsidP="00E95E3B">
      <w:pPr>
        <w:pStyle w:val="ostzahl"/>
      </w:pPr>
      <w:r w:rsidRPr="007513ED">
        <w:t>Název problému a jeho charakteristika</w:t>
      </w:r>
    </w:p>
    <w:p w:rsidR="00E95E3B" w:rsidRPr="007513ED" w:rsidRDefault="00E95E3B" w:rsidP="00E95E3B">
      <w:pPr>
        <w:pStyle w:val="vlevo"/>
      </w:pPr>
      <w:r w:rsidRPr="007513ED">
        <w:t>Uzavření</w:t>
      </w:r>
      <w:r>
        <w:t xml:space="preserve"> konečných smluvních vztahů v lokalitě ulice</w:t>
      </w:r>
      <w:r w:rsidR="0025107D">
        <w:t xml:space="preserve"> Pod Hájem, ul.</w:t>
      </w:r>
      <w:r>
        <w:t xml:space="preserve"> Ve Svahu, k.ú. Červený Hrádek, investor – fyzické osoby, sdružení Archa.</w:t>
      </w:r>
    </w:p>
    <w:p w:rsidR="00E95E3B" w:rsidRPr="007513ED" w:rsidRDefault="00E95E3B" w:rsidP="00E95E3B">
      <w:pPr>
        <w:pStyle w:val="ostzahl"/>
      </w:pPr>
      <w:r w:rsidRPr="007513ED">
        <w:t>Konstatování současného stavu a jeho analýza</w:t>
      </w:r>
    </w:p>
    <w:p w:rsidR="00E95E3B" w:rsidRDefault="00E95E3B" w:rsidP="00E95E3B">
      <w:pPr>
        <w:pStyle w:val="vlevo"/>
      </w:pPr>
      <w:r>
        <w:t>MAJ uzavřel v roce 2000 s Pavlem Králem, který zastupoval fyzické osoby, vlastníky stavebních parcel určených pro rodinné domy, členy sdružení Archa, smlouvu o smlouvě budoucí darovací na darování TDI a s fyzickými osobami smlouvu o smlouvě budoucí kupní na odkoupení TDI dotčených pozemků do majetku města Plzně v souvislosti s výstavbou rodinných domů v ulici Ve Svahu (dříve Pod Hájem) k.ú. Červený Hrádek u Plzně, a to dle usnesení ZMP 277/2000 (viz příloha č. 1).</w:t>
      </w:r>
    </w:p>
    <w:p w:rsidR="00E95E3B" w:rsidRDefault="00E95E3B" w:rsidP="00E95E3B">
      <w:pPr>
        <w:pStyle w:val="vlevo"/>
      </w:pPr>
      <w:r>
        <w:t xml:space="preserve">Spoluvlastníky a investory předávané TDI jsou fyzické osoby uvedené v návrhu </w:t>
      </w:r>
      <w:r w:rsidRPr="00001712">
        <w:t>usnesení bod II.2.  – vlastníci jednotlivých rodinných domů (nebo stavebních parcel)</w:t>
      </w:r>
      <w:r>
        <w:t xml:space="preserve"> v předmětné lokalitě, kteří se za účelem společné výstavby a financování TDI sdružili – sdružení Archa. </w:t>
      </w:r>
    </w:p>
    <w:p w:rsidR="00E95E3B" w:rsidRDefault="00E95E3B" w:rsidP="00E95E3B">
      <w:pPr>
        <w:pStyle w:val="vlevo"/>
      </w:pPr>
      <w:r>
        <w:t>Vlastníci jednotlivých rodinných domů (stavebních parcel), tedy přímí investoři TDI v této ulici, požadují předání staveb TDI co nejdříve, neboť jako neziskové sdružení nemají finanční prostředky na údržbu a správu TDI. V tomto případě se nejednalo o developerský projekt, ale o individuální výstavbu TDI</w:t>
      </w:r>
      <w:r w:rsidR="0025107D">
        <w:t xml:space="preserve"> a rodinných domů</w:t>
      </w:r>
      <w:r>
        <w:t xml:space="preserve">. </w:t>
      </w:r>
    </w:p>
    <w:p w:rsidR="00E95E3B" w:rsidRDefault="00E95E3B" w:rsidP="00E95E3B">
      <w:pPr>
        <w:pStyle w:val="vlevo"/>
      </w:pPr>
    </w:p>
    <w:p w:rsidR="00E95E3B" w:rsidRDefault="00E95E3B" w:rsidP="00E95E3B">
      <w:pPr>
        <w:pStyle w:val="vlevo"/>
      </w:pPr>
      <w:r>
        <w:t>V současné době jsou stavby TDI zkolaudovány vyjma vodovodního řadu, neboť nebyla splněna podmínka přeložení stávajícího městského vodovodního řadu DN 80 mimo pozemky ve vlastnictví fyzických osob p.č. 373/8 a 373/7 k.ú. Červený Hrádek u Plzně nebo zřízení věcného břemene. Tato podmínka byla dána do povolení ke zřízení vodohospodářského díla č.j. stav/1069/2001 (nikoliv tedy již do územního rozhodnutí) na předmět smlouvy budoucí darovací - vodovodní řad DN 90 budovaný fyzickými osobami, a to jako podmínka pro vydání vodohospodářské kolaudace na vodovodní řad DN 90. Přeložka městského vodovodního řadu DN 80 nebude realizována ani financována z rozpočtu OSI MMP. Vlastníci pozemků p.č. 373/8 a 373/7 k.ú. Červený Hrádek u Plzně jednají o možnosti provedení přeložky. Investoři TDI předpokládají po kolaudaci vodovodního řadu DN 90 jeho předání městu Plzni.</w:t>
      </w:r>
    </w:p>
    <w:p w:rsidR="00E95E3B" w:rsidRDefault="00E95E3B" w:rsidP="00E95E3B">
      <w:pPr>
        <w:pStyle w:val="vlevo"/>
      </w:pPr>
    </w:p>
    <w:p w:rsidR="00E95E3B" w:rsidRDefault="00E95E3B" w:rsidP="00E95E3B">
      <w:pPr>
        <w:pStyle w:val="vlevo"/>
      </w:pPr>
      <w:r>
        <w:t>Pro předávané stavby byla vydána kolaudační rozhodnutí:</w:t>
      </w:r>
    </w:p>
    <w:p w:rsidR="00E95E3B" w:rsidRDefault="00E95E3B" w:rsidP="00E95E3B">
      <w:pPr>
        <w:pStyle w:val="vlevo"/>
        <w:numPr>
          <w:ilvl w:val="0"/>
          <w:numId w:val="2"/>
        </w:numPr>
      </w:pPr>
      <w:r>
        <w:t>č.j. MMP/147622/11 ze dne 16. 8. 2011 (nabytí právní moci dne 21. 9. 2011) - pro stavbu D1 -  komunikace a TÚ včetně odvodnění a sadových úprav</w:t>
      </w:r>
    </w:p>
    <w:p w:rsidR="00E95E3B" w:rsidRDefault="00E95E3B" w:rsidP="00E95E3B">
      <w:pPr>
        <w:pStyle w:val="vlevo"/>
        <w:numPr>
          <w:ilvl w:val="0"/>
          <w:numId w:val="2"/>
        </w:numPr>
      </w:pPr>
      <w:r>
        <w:t xml:space="preserve">č.j. MMP/028934/11 ze dne 15. 2. 2011 (právní moci nabylo 19. 3. 2011) pro stavbu D4 veřejného osvětlení </w:t>
      </w:r>
    </w:p>
    <w:p w:rsidR="00E95E3B" w:rsidRDefault="00E95E3B" w:rsidP="00E95E3B">
      <w:pPr>
        <w:pStyle w:val="vlevo"/>
        <w:numPr>
          <w:ilvl w:val="0"/>
          <w:numId w:val="2"/>
        </w:numPr>
      </w:pPr>
      <w:r>
        <w:t xml:space="preserve">č.j. </w:t>
      </w:r>
      <w:r w:rsidRPr="00347684">
        <w:t>MM</w:t>
      </w:r>
      <w:r>
        <w:t>P</w:t>
      </w:r>
      <w:r w:rsidRPr="00347684">
        <w:t>/1</w:t>
      </w:r>
      <w:r>
        <w:t>08902/11 ze dne 16. 6. 2011 (právní moci nabylo dne 22. 7. 2011) pro stavbu kanalizační stoka DN 300, materiál kamenina.</w:t>
      </w:r>
    </w:p>
    <w:p w:rsidR="00E95E3B" w:rsidRDefault="00E95E3B" w:rsidP="00E95E3B">
      <w:pPr>
        <w:pStyle w:val="vlevo"/>
      </w:pPr>
      <w:r>
        <w:t xml:space="preserve">Pro stavbu vodovodního řadu DN 90 bylo dne 16. 6. 2011 vydáno povolení k předčasnému užívání s termínem do 31. 5. 2013, z důvodu neprovedení přeložky vodovodního řadu DN 80 v majetku města mimo pozemky p.č. 373/8 a 373/7 k.ú. Červený Hrádek u Plzně. </w:t>
      </w:r>
    </w:p>
    <w:p w:rsidR="00E95E3B" w:rsidRDefault="00E95E3B" w:rsidP="00E95E3B">
      <w:pPr>
        <w:pStyle w:val="vlevo"/>
      </w:pPr>
    </w:p>
    <w:p w:rsidR="00E95E3B" w:rsidRDefault="00E95E3B" w:rsidP="00E95E3B">
      <w:pPr>
        <w:pStyle w:val="vlevo"/>
      </w:pPr>
      <w:r>
        <w:t xml:space="preserve">Dle doloženého souhlasného stanoviska ORP MMP a OSI MMP (viz příloha </w:t>
      </w:r>
      <w:r w:rsidRPr="00A83121">
        <w:t>č.</w:t>
      </w:r>
      <w:r>
        <w:t xml:space="preserve"> 2) je </w:t>
      </w:r>
      <w:r w:rsidR="0025107D">
        <w:t xml:space="preserve">přebíraná </w:t>
      </w:r>
      <w:r>
        <w:t xml:space="preserve">TDI bez vad a nedodělků. </w:t>
      </w:r>
    </w:p>
    <w:p w:rsidR="00E95E3B" w:rsidRDefault="00E95E3B" w:rsidP="00E95E3B">
      <w:pPr>
        <w:pStyle w:val="vlevo"/>
      </w:pPr>
      <w:r w:rsidRPr="00A754E4">
        <w:lastRenderedPageBreak/>
        <w:t>Do majetku města Plzně bude tedy převzata komunikace včetně odvodnění, veřejné osvětlení a sadové úpravy, kanalizační stoka</w:t>
      </w:r>
      <w:r>
        <w:t>,</w:t>
      </w:r>
      <w:r w:rsidRPr="00A754E4">
        <w:t xml:space="preserve"> a to včetn</w:t>
      </w:r>
      <w:r>
        <w:t>ě pozemků a v rozsahu dle návrhu usnesení</w:t>
      </w:r>
      <w:r w:rsidRPr="00A754E4">
        <w:t xml:space="preserve">. </w:t>
      </w:r>
      <w:r>
        <w:t xml:space="preserve"> </w:t>
      </w:r>
    </w:p>
    <w:p w:rsidR="00E95E3B" w:rsidRDefault="00E95E3B" w:rsidP="00E95E3B">
      <w:pPr>
        <w:pStyle w:val="vlevo"/>
      </w:pPr>
      <w:r>
        <w:t xml:space="preserve">V současné době tedy není možno do majetku města Plzně převzít vodovodní řad, protože není zkolaudován. Jelikož zůstane ve vlastnictví fyzických osob, bude pro ně </w:t>
      </w:r>
      <w:r w:rsidRPr="00143896">
        <w:t>zřízeno věcné břemeno</w:t>
      </w:r>
      <w:r>
        <w:t xml:space="preserve"> uložení vodovodního řadu DN 90</w:t>
      </w:r>
      <w:r w:rsidRPr="00143896">
        <w:t xml:space="preserve"> včetně ochranného pásma</w:t>
      </w:r>
      <w:r>
        <w:t>. Město Plzeň bude povinné.</w:t>
      </w:r>
    </w:p>
    <w:p w:rsidR="00E95E3B" w:rsidRDefault="00E95E3B" w:rsidP="00E95E3B">
      <w:pPr>
        <w:pStyle w:val="vlevo"/>
      </w:pPr>
    </w:p>
    <w:p w:rsidR="00E95E3B" w:rsidRDefault="00E95E3B" w:rsidP="00E95E3B">
      <w:pPr>
        <w:pStyle w:val="vlevo"/>
      </w:pPr>
      <w:r>
        <w:t>Dle nových pravidel pro přebírání TDI a požadavku investorů budou stavby TDI odkoupeny za 1% z pořizovacích nákladů na předávanou TDI, max. 1 000 000,- Kč. Pozemky budou vykoupeny za smluvní kupní cenu 40,- Kč/m</w:t>
      </w:r>
      <w:r>
        <w:rPr>
          <w:vertAlign w:val="superscript"/>
        </w:rPr>
        <w:t>2</w:t>
      </w:r>
      <w:r>
        <w:t xml:space="preserve"> s tím, že město Plzeň uhradí daň z převodu nemovitostí.</w:t>
      </w:r>
    </w:p>
    <w:p w:rsidR="00E95E3B" w:rsidRDefault="00E95E3B" w:rsidP="00E95E3B">
      <w:pPr>
        <w:pStyle w:val="vlevo"/>
      </w:pPr>
    </w:p>
    <w:p w:rsidR="00E95E3B" w:rsidRDefault="00E95E3B" w:rsidP="00E95E3B">
      <w:pPr>
        <w:pStyle w:val="vlevo"/>
      </w:pPr>
      <w:r>
        <w:t>Pořizovací náklady na předávanou TDI (mimo vodovodního řadu) činí celkem 2 534 668,- Kč, kupní cena tedy bude stanovena jako 1% z pořizovacích nákladů, tj. celkem 25 347,- Kč. Pořizovací náklady na vodovodní řad DN 90 činí 400 000,- Kč kupní cena tedy v budoucnu bude činit 4 000,- Kč.</w:t>
      </w:r>
    </w:p>
    <w:p w:rsidR="00E95E3B" w:rsidRDefault="00E95E3B" w:rsidP="00E95E3B">
      <w:pPr>
        <w:pStyle w:val="vlevo"/>
      </w:pPr>
    </w:p>
    <w:p w:rsidR="00E95E3B" w:rsidRDefault="00E95E3B" w:rsidP="00E95E3B">
      <w:pPr>
        <w:pStyle w:val="vlevo"/>
      </w:pPr>
      <w:r>
        <w:t xml:space="preserve">Pro majetkoprávní vypořádání lokality bude nejvhodnější uzavřít dohodu o zrušení </w:t>
      </w:r>
      <w:r w:rsidRPr="00FA3262">
        <w:t>smlouvy o smlouvě budoucí darovací č. 2011/003844  a nově uzavřít smlouvy</w:t>
      </w:r>
      <w:r>
        <w:t xml:space="preserve"> v rozsahu dle návrhu usnesení, tj. kupní smlouvu na TDI, smlouvu o smlouvě budoucí na odkoupení vodovodního řadu DN 90, smlouvu o zřízení věcného břemene uložení vodovodního řadu DN 90 (město povinné), smlouvu o zřízení věcného břemene uložení kanalizace v pozemku p.č. 373/10 k.ú. Červený Hrádek u Plzně (město oprávněné), smlouvu o smlouvě budoucí o zřízení věcného břemene uložení vodovodního řadu DN 90 v pozemku p.č. 373/10 k.ú. Červený Hrádek u Plzně (město oprávněné) a kupní smlouvu na pozemky dotčené TDI. Pozemek p.č. 373/10 k.ú. Červený Hrádek u Plzně nebude vykoupen do majetku města Plzně, neboť se na něm nenachází komunikace, veřejné osvětlení ani sadové úpravy.</w:t>
      </w:r>
    </w:p>
    <w:p w:rsidR="0025107D" w:rsidRDefault="0025107D" w:rsidP="0025107D">
      <w:pPr>
        <w:pStyle w:val="vlevo"/>
      </w:pPr>
    </w:p>
    <w:p w:rsidR="0025107D" w:rsidRDefault="0025107D" w:rsidP="0025107D">
      <w:pPr>
        <w:pStyle w:val="vlevo"/>
      </w:pPr>
      <w:r>
        <w:t xml:space="preserve">Věcná břemena potřebná pro zajištění provozu VHI byla schválena usnesením RMP </w:t>
      </w:r>
      <w:r w:rsidRPr="00E33FD0">
        <w:t xml:space="preserve">č. </w:t>
      </w:r>
      <w:r w:rsidR="00E33FD0" w:rsidRPr="00E33FD0">
        <w:t>803</w:t>
      </w:r>
      <w:r w:rsidRPr="00E33FD0">
        <w:t xml:space="preserve"> ze dne 31. 5. 2012</w:t>
      </w:r>
      <w:r w:rsidR="000C5EF6">
        <w:t>.</w:t>
      </w:r>
      <w:bookmarkStart w:id="0" w:name="_GoBack"/>
      <w:bookmarkEnd w:id="0"/>
    </w:p>
    <w:p w:rsidR="00E95E3B" w:rsidRDefault="00E95E3B" w:rsidP="00E95E3B">
      <w:pPr>
        <w:pStyle w:val="vlevo"/>
      </w:pPr>
    </w:p>
    <w:p w:rsidR="00E95E3B" w:rsidRDefault="00E95E3B" w:rsidP="00E95E3B">
      <w:pPr>
        <w:pStyle w:val="vlevo"/>
      </w:pPr>
      <w:r w:rsidRPr="005A5DC6">
        <w:t>K získávaný</w:t>
      </w:r>
      <w:r>
        <w:t>m</w:t>
      </w:r>
      <w:r w:rsidRPr="005A5DC6">
        <w:t xml:space="preserve"> pozemkům p.č. 373/35 a 761/4 k.ú. Červený Hrádek</w:t>
      </w:r>
      <w:r>
        <w:t xml:space="preserve"> u Plzně</w:t>
      </w:r>
      <w:r w:rsidRPr="005A5DC6">
        <w:t xml:space="preserve"> se vztahuje věcné břemeno chůze a jízdy ve prospěch pozemků p.č. 379/7, 379/8,  373/21</w:t>
      </w:r>
      <w:r w:rsidR="0025107D">
        <w:t>, 373/22</w:t>
      </w:r>
      <w:r w:rsidRPr="005A5DC6">
        <w:t xml:space="preserve"> a 373/1</w:t>
      </w:r>
      <w:r w:rsidR="0025107D">
        <w:t xml:space="preserve"> a stavbu Červený Hrádek č.p. 187 </w:t>
      </w:r>
      <w:r w:rsidRPr="005A5DC6">
        <w:t xml:space="preserve"> k.ú. Červený Hrádek</w:t>
      </w:r>
      <w:r>
        <w:t xml:space="preserve"> u Plzně</w:t>
      </w:r>
      <w:r w:rsidR="0025107D">
        <w:t xml:space="preserve"> a k pozemku p.č. 373/38 k.ú. Červený Hrádek u Plzně věcné břemeno ve uložení zařízení distribuční soustavy ve prospěch ČEZ Distribuce, a.s.</w:t>
      </w:r>
      <w:r w:rsidRPr="005A5DC6">
        <w:t xml:space="preserve"> Získávané pozemky jsou povinné. S odkoupením pozemků tedy přejde toto</w:t>
      </w:r>
      <w:r>
        <w:t xml:space="preserve"> zatížení na město Plzeň. Po vkladu kupních smluv bude započato jednání o uzavření dohody o zrušení věcných břemen s vlastníky oprávněných pozemků</w:t>
      </w:r>
      <w:r w:rsidRPr="00E33FD0">
        <w:t>. K získávanému pozemku p.č. 379/16 k.ú. Červený Hrádek u Plzně se vztahuje věcné břemeno užívání pro fyzickou osobu. Toto věcné břemeno bude zrušeno před uzavřením kupní smlouvy na pozemek p.č. 379/16 k.ú. Červený Hrádek u Plzně na jeho odkoupení do majetku města Plzně.</w:t>
      </w:r>
    </w:p>
    <w:p w:rsidR="00E95E3B" w:rsidRDefault="00E95E3B" w:rsidP="00E95E3B">
      <w:pPr>
        <w:pStyle w:val="vlevo"/>
      </w:pPr>
    </w:p>
    <w:p w:rsidR="00E95E3B" w:rsidRDefault="00E95E3B" w:rsidP="00E95E3B">
      <w:pPr>
        <w:pStyle w:val="vlevo"/>
      </w:pPr>
    </w:p>
    <w:p w:rsidR="00E95E3B" w:rsidRDefault="00E95E3B" w:rsidP="00E95E3B">
      <w:pPr>
        <w:pStyle w:val="ostzahl"/>
      </w:pPr>
      <w:r w:rsidRPr="007513ED">
        <w:t>Předpokládaný cílový stav</w:t>
      </w:r>
    </w:p>
    <w:p w:rsidR="00E95E3B" w:rsidRPr="007D32D0" w:rsidRDefault="00E95E3B" w:rsidP="00E95E3B">
      <w:pPr>
        <w:pStyle w:val="vlevo"/>
      </w:pPr>
      <w:r>
        <w:t>Uzavřít smluvní vztahy v předmětné lokalitě v rozsahu dle návrhu usnesení.</w:t>
      </w:r>
    </w:p>
    <w:p w:rsidR="00E95E3B" w:rsidRPr="007513ED" w:rsidRDefault="00E95E3B" w:rsidP="00E95E3B">
      <w:pPr>
        <w:pStyle w:val="ostzahl"/>
      </w:pPr>
      <w:r w:rsidRPr="007513ED">
        <w:lastRenderedPageBreak/>
        <w:t>Navrhované varianty řešení</w:t>
      </w:r>
    </w:p>
    <w:p w:rsidR="00E95E3B" w:rsidRDefault="00E95E3B" w:rsidP="00E95E3B">
      <w:pPr>
        <w:pStyle w:val="vlevo"/>
      </w:pPr>
      <w:r>
        <w:t xml:space="preserve">Viz návrh usnesení. </w:t>
      </w:r>
    </w:p>
    <w:p w:rsidR="00E95E3B" w:rsidRDefault="00E95E3B" w:rsidP="00E95E3B">
      <w:pPr>
        <w:pStyle w:val="ostzahl"/>
      </w:pPr>
      <w:r w:rsidRPr="007513ED">
        <w:t>Doporučená varianta řešení</w:t>
      </w:r>
    </w:p>
    <w:p w:rsidR="00E95E3B" w:rsidRDefault="00E95E3B" w:rsidP="00E95E3B">
      <w:pPr>
        <w:pStyle w:val="vlevo"/>
      </w:pPr>
      <w:r>
        <w:t xml:space="preserve">Viz návrh usnesení. </w:t>
      </w:r>
    </w:p>
    <w:p w:rsidR="00E95E3B" w:rsidRDefault="00E95E3B" w:rsidP="00E95E3B">
      <w:pPr>
        <w:pStyle w:val="vlevo"/>
      </w:pPr>
    </w:p>
    <w:p w:rsidR="00E95E3B" w:rsidRDefault="00E95E3B" w:rsidP="00E95E3B">
      <w:pPr>
        <w:pStyle w:val="ostzahl"/>
      </w:pPr>
      <w:r w:rsidRPr="007513ED">
        <w:t>Finanční nároky řešení a možnosti finančního krytí</w:t>
      </w:r>
    </w:p>
    <w:p w:rsidR="00E95E3B" w:rsidRDefault="00E95E3B" w:rsidP="00E95E3B">
      <w:pPr>
        <w:pStyle w:val="vlevo"/>
      </w:pPr>
      <w:r>
        <w:t>Město Plzeň uhradí za pozemky kupní cenu v celkové výši</w:t>
      </w:r>
      <w:r w:rsidRPr="003745E9">
        <w:t xml:space="preserve"> </w:t>
      </w:r>
      <w:r>
        <w:t>62 720,</w:t>
      </w:r>
      <w:r w:rsidRPr="003745E9">
        <w:t>- Kč</w:t>
      </w:r>
      <w:r>
        <w:t>, která</w:t>
      </w:r>
      <w:r w:rsidRPr="003745E9">
        <w:t xml:space="preserve"> </w:t>
      </w:r>
      <w:r>
        <w:t>bude hrazena</w:t>
      </w:r>
      <w:r w:rsidRPr="00525DB3">
        <w:t xml:space="preserve"> z rozpočtu odboru nabývání majetku.</w:t>
      </w:r>
    </w:p>
    <w:p w:rsidR="00E95E3B" w:rsidRDefault="00E95E3B" w:rsidP="00E95E3B">
      <w:pPr>
        <w:pStyle w:val="vlevo"/>
      </w:pPr>
      <w:r>
        <w:t xml:space="preserve">Kupní cena za odkoupení TDI bude činit </w:t>
      </w:r>
      <w:r w:rsidRPr="00BA505C">
        <w:t xml:space="preserve">celkem </w:t>
      </w:r>
      <w:r>
        <w:t>25 347</w:t>
      </w:r>
      <w:r w:rsidRPr="00BA505C">
        <w:t>,- Kč</w:t>
      </w:r>
      <w:r>
        <w:t xml:space="preserve"> a bude hrazena</w:t>
      </w:r>
      <w:r w:rsidRPr="00525DB3">
        <w:t xml:space="preserve"> z rozpočtu odboru nabývání majetku</w:t>
      </w:r>
      <w:r>
        <w:t>.</w:t>
      </w:r>
    </w:p>
    <w:p w:rsidR="00E95E3B" w:rsidRDefault="00E95E3B" w:rsidP="00E95E3B">
      <w:pPr>
        <w:pStyle w:val="vlevo"/>
      </w:pPr>
      <w:r>
        <w:t>Dále náklady spojené s vyhotovením geometrických plánů pro zřízení věcných břemen a vklady do katastru nemovitostí.</w:t>
      </w:r>
    </w:p>
    <w:p w:rsidR="00E95E3B" w:rsidRPr="00D048DC" w:rsidRDefault="00E95E3B" w:rsidP="00E95E3B">
      <w:pPr>
        <w:pStyle w:val="vlevo"/>
      </w:pPr>
    </w:p>
    <w:p w:rsidR="00E95E3B" w:rsidRPr="007513ED" w:rsidRDefault="00E95E3B" w:rsidP="00E95E3B">
      <w:pPr>
        <w:pStyle w:val="ostzahl"/>
      </w:pPr>
      <w:r w:rsidRPr="007513ED">
        <w:t>Návrh termínů realizace a určení zodpovědných pracovníků</w:t>
      </w:r>
    </w:p>
    <w:p w:rsidR="00E95E3B" w:rsidRPr="007513ED" w:rsidRDefault="00E95E3B" w:rsidP="00E95E3B">
      <w:pPr>
        <w:pStyle w:val="vlevo"/>
      </w:pPr>
      <w:r>
        <w:t>Viz návrh usnesení.</w:t>
      </w:r>
      <w:r w:rsidRPr="007513ED">
        <w:tab/>
      </w:r>
    </w:p>
    <w:p w:rsidR="00E95E3B" w:rsidRDefault="00E95E3B" w:rsidP="00E95E3B">
      <w:pPr>
        <w:pStyle w:val="ostzahl"/>
      </w:pPr>
      <w:r w:rsidRPr="007513ED">
        <w:t>Dříve přijatá usnesení orgánů města nebo městských obvodů, která s</w:t>
      </w:r>
      <w:r>
        <w:t> </w:t>
      </w:r>
      <w:r w:rsidRPr="007513ED">
        <w:t>tímto návrhem souvisejí</w:t>
      </w:r>
    </w:p>
    <w:p w:rsidR="00E95E3B" w:rsidRPr="00D048DC" w:rsidRDefault="00E95E3B" w:rsidP="00E95E3B">
      <w:pPr>
        <w:pStyle w:val="vlevo"/>
      </w:pPr>
      <w:r w:rsidRPr="002767F4">
        <w:t xml:space="preserve">Usnesení ZMP č. 277 ze </w:t>
      </w:r>
      <w:r>
        <w:t xml:space="preserve">dne 5. 10. 2000, zápis z jednání KNM dne 19. 4. 2012, </w:t>
      </w:r>
      <w:r w:rsidRPr="00E33FD0">
        <w:t xml:space="preserve">usnesení RMP č. </w:t>
      </w:r>
      <w:r w:rsidR="00E33FD0" w:rsidRPr="00E33FD0">
        <w:t>803</w:t>
      </w:r>
      <w:r w:rsidRPr="00E33FD0">
        <w:t xml:space="preserve"> ze dne 31. 5. 2012.</w:t>
      </w:r>
    </w:p>
    <w:p w:rsidR="00E95E3B" w:rsidRPr="007513ED" w:rsidRDefault="00E95E3B" w:rsidP="00E95E3B">
      <w:pPr>
        <w:pStyle w:val="ostzahl"/>
      </w:pPr>
      <w:r w:rsidRPr="007513ED">
        <w:t>Závazky či pohledávky vůči městu Plzni</w:t>
      </w:r>
    </w:p>
    <w:p w:rsidR="00E95E3B" w:rsidRPr="007513ED" w:rsidRDefault="00E95E3B" w:rsidP="00E95E3B">
      <w:pPr>
        <w:pStyle w:val="vlevo"/>
      </w:pPr>
      <w:r w:rsidRPr="00E91667">
        <w:t>U investorů a vlastníků pozemků nejsou evidovány žádné pohledávky po lhůtě</w:t>
      </w:r>
      <w:r>
        <w:t xml:space="preserve"> splatnosti.</w:t>
      </w:r>
    </w:p>
    <w:p w:rsidR="00E95E3B" w:rsidRPr="007513ED" w:rsidRDefault="00E95E3B" w:rsidP="00E95E3B">
      <w:pPr>
        <w:pStyle w:val="ostzahl"/>
      </w:pPr>
      <w:r w:rsidRPr="007513ED">
        <w:t>Přílohy</w:t>
      </w:r>
    </w:p>
    <w:p w:rsidR="00E95E3B" w:rsidRPr="00051673" w:rsidRDefault="00E95E3B" w:rsidP="00E95E3B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>příloha č. 1 –</w:t>
      </w:r>
      <w:r>
        <w:rPr>
          <w:sz w:val="24"/>
          <w:szCs w:val="24"/>
        </w:rPr>
        <w:t xml:space="preserve"> usnesení ZMP</w:t>
      </w:r>
      <w:r w:rsidRPr="00051673">
        <w:rPr>
          <w:sz w:val="24"/>
          <w:szCs w:val="24"/>
        </w:rPr>
        <w:tab/>
      </w:r>
      <w:r w:rsidRPr="00051673">
        <w:rPr>
          <w:sz w:val="24"/>
          <w:szCs w:val="24"/>
        </w:rPr>
        <w:tab/>
      </w:r>
      <w:r w:rsidRPr="00051673">
        <w:rPr>
          <w:sz w:val="24"/>
          <w:szCs w:val="24"/>
        </w:rPr>
        <w:tab/>
      </w:r>
    </w:p>
    <w:p w:rsidR="00E95E3B" w:rsidRDefault="00E95E3B" w:rsidP="00E95E3B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>příloha č. 2 –</w:t>
      </w:r>
      <w:r>
        <w:rPr>
          <w:sz w:val="24"/>
          <w:szCs w:val="24"/>
        </w:rPr>
        <w:t xml:space="preserve"> stanovisko ORP a OSI MMP</w:t>
      </w:r>
    </w:p>
    <w:p w:rsidR="00E95E3B" w:rsidRDefault="00E95E3B" w:rsidP="00E95E3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3 – žádosti investorů</w:t>
      </w:r>
    </w:p>
    <w:p w:rsidR="00E95E3B" w:rsidRDefault="00E95E3B" w:rsidP="00E95E3B">
      <w:pPr>
        <w:pStyle w:val="Seznam2"/>
        <w:ind w:left="1560" w:hanging="1277"/>
        <w:rPr>
          <w:sz w:val="24"/>
          <w:szCs w:val="24"/>
        </w:rPr>
      </w:pPr>
      <w:r w:rsidRPr="00051673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4</w:t>
      </w:r>
      <w:r w:rsidRPr="00051673">
        <w:rPr>
          <w:sz w:val="24"/>
          <w:szCs w:val="24"/>
        </w:rPr>
        <w:t xml:space="preserve"> – </w:t>
      </w:r>
      <w:r>
        <w:rPr>
          <w:sz w:val="24"/>
          <w:szCs w:val="24"/>
        </w:rPr>
        <w:t>rozsah věcného břemene vodovod – město povinný</w:t>
      </w:r>
    </w:p>
    <w:p w:rsidR="00E95E3B" w:rsidRDefault="00E95E3B" w:rsidP="00E95E3B">
      <w:pPr>
        <w:pStyle w:val="Seznam2"/>
        <w:ind w:left="1560" w:hanging="1277"/>
        <w:rPr>
          <w:sz w:val="24"/>
          <w:szCs w:val="24"/>
        </w:rPr>
      </w:pPr>
      <w:r>
        <w:rPr>
          <w:sz w:val="24"/>
          <w:szCs w:val="24"/>
        </w:rPr>
        <w:t>příloha č. 5  - GP 810-119/2012 – VB vodovod a kanalizace</w:t>
      </w:r>
    </w:p>
    <w:p w:rsidR="00E95E3B" w:rsidRDefault="00E95E3B" w:rsidP="00E95E3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6 – rozsah budoucího věcného břemene vodovod – město oprávněný</w:t>
      </w:r>
    </w:p>
    <w:p w:rsidR="00E95E3B" w:rsidRDefault="00E95E3B" w:rsidP="00E95E3B">
      <w:pPr>
        <w:pStyle w:val="Seznam2"/>
        <w:ind w:left="1560" w:hanging="1277"/>
        <w:rPr>
          <w:sz w:val="24"/>
          <w:szCs w:val="24"/>
        </w:rPr>
      </w:pPr>
      <w:r>
        <w:rPr>
          <w:sz w:val="24"/>
          <w:szCs w:val="24"/>
        </w:rPr>
        <w:t>příloha č. 7 – rozsah věcného břemene kanalizace – město oprávněný</w:t>
      </w:r>
    </w:p>
    <w:p w:rsidR="00E95E3B" w:rsidRPr="00051673" w:rsidRDefault="00E95E3B" w:rsidP="00E95E3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8 – zápis z jednání KNM</w:t>
      </w:r>
    </w:p>
    <w:p w:rsidR="00E95E3B" w:rsidRPr="00051673" w:rsidRDefault="00E95E3B" w:rsidP="00E95E3B">
      <w:pPr>
        <w:pStyle w:val="Seznam2"/>
        <w:rPr>
          <w:sz w:val="24"/>
          <w:szCs w:val="24"/>
        </w:rPr>
      </w:pPr>
      <w:r w:rsidRPr="00051673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 xml:space="preserve">9 </w:t>
      </w:r>
      <w:r w:rsidRPr="00051673">
        <w:rPr>
          <w:sz w:val="24"/>
          <w:szCs w:val="24"/>
        </w:rPr>
        <w:t>– letecký snímek</w:t>
      </w:r>
    </w:p>
    <w:p w:rsidR="00E95E3B" w:rsidRDefault="00E95E3B" w:rsidP="00E95E3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10 – územní plán</w:t>
      </w:r>
      <w:r w:rsidRPr="00051673">
        <w:rPr>
          <w:sz w:val="24"/>
          <w:szCs w:val="24"/>
        </w:rPr>
        <w:t xml:space="preserve"> </w:t>
      </w:r>
    </w:p>
    <w:p w:rsidR="00E95E3B" w:rsidRPr="00051673" w:rsidRDefault="00E95E3B" w:rsidP="00E95E3B">
      <w:pPr>
        <w:pStyle w:val="Seznam2"/>
        <w:rPr>
          <w:sz w:val="24"/>
          <w:szCs w:val="24"/>
        </w:rPr>
      </w:pPr>
      <w:r>
        <w:rPr>
          <w:sz w:val="24"/>
          <w:szCs w:val="24"/>
        </w:rPr>
        <w:t xml:space="preserve">příloha č. 11 - </w:t>
      </w:r>
      <w:r w:rsidRPr="00051673">
        <w:rPr>
          <w:sz w:val="24"/>
          <w:szCs w:val="24"/>
        </w:rPr>
        <w:t>plán města</w:t>
      </w:r>
    </w:p>
    <w:p w:rsidR="00E95E3B" w:rsidRDefault="00E95E3B" w:rsidP="00E95E3B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12</w:t>
      </w:r>
      <w:r w:rsidRPr="000516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51673">
        <w:rPr>
          <w:sz w:val="24"/>
          <w:szCs w:val="24"/>
        </w:rPr>
        <w:t>modrá mapa</w:t>
      </w:r>
      <w:r>
        <w:rPr>
          <w:sz w:val="24"/>
          <w:szCs w:val="24"/>
        </w:rPr>
        <w:t xml:space="preserve"> s vyznačením výkupu</w:t>
      </w:r>
    </w:p>
    <w:p w:rsidR="00E95E3B" w:rsidRPr="00051673" w:rsidRDefault="00E95E3B" w:rsidP="00E95E3B">
      <w:pPr>
        <w:pStyle w:val="Seznam2"/>
        <w:rPr>
          <w:sz w:val="24"/>
          <w:szCs w:val="24"/>
        </w:rPr>
      </w:pPr>
      <w:r w:rsidRPr="00E33FD0">
        <w:rPr>
          <w:sz w:val="24"/>
          <w:szCs w:val="24"/>
        </w:rPr>
        <w:t>příloha č. 13 – usnesení RMP</w:t>
      </w:r>
      <w:r w:rsidR="00E33FD0">
        <w:rPr>
          <w:sz w:val="24"/>
          <w:szCs w:val="24"/>
        </w:rPr>
        <w:t xml:space="preserve"> č.</w:t>
      </w:r>
      <w:r w:rsidRPr="00E33FD0">
        <w:rPr>
          <w:sz w:val="24"/>
          <w:szCs w:val="24"/>
        </w:rPr>
        <w:t xml:space="preserve">  </w:t>
      </w:r>
      <w:r w:rsidR="00E33FD0" w:rsidRPr="00E33FD0">
        <w:rPr>
          <w:sz w:val="24"/>
          <w:szCs w:val="24"/>
        </w:rPr>
        <w:t>803</w:t>
      </w:r>
      <w:r w:rsidRPr="00E33FD0">
        <w:rPr>
          <w:sz w:val="24"/>
          <w:szCs w:val="24"/>
        </w:rPr>
        <w:t>/2012.</w:t>
      </w:r>
      <w:r w:rsidRPr="00051673">
        <w:rPr>
          <w:sz w:val="24"/>
          <w:szCs w:val="24"/>
        </w:rPr>
        <w:tab/>
      </w:r>
      <w:r w:rsidRPr="00051673">
        <w:rPr>
          <w:sz w:val="24"/>
          <w:szCs w:val="24"/>
        </w:rPr>
        <w:tab/>
      </w:r>
    </w:p>
    <w:p w:rsidR="00E95E3B" w:rsidRPr="007513ED" w:rsidRDefault="00E95E3B" w:rsidP="00E95E3B">
      <w:pPr>
        <w:ind w:left="-180"/>
      </w:pPr>
    </w:p>
    <w:p w:rsidR="00E95E3B" w:rsidRDefault="00E95E3B" w:rsidP="00E95E3B">
      <w:pPr>
        <w:ind w:left="-180" w:firstLine="180"/>
        <w:rPr>
          <w:sz w:val="24"/>
          <w:szCs w:val="24"/>
        </w:rPr>
      </w:pPr>
    </w:p>
    <w:p w:rsidR="00E95E3B" w:rsidRDefault="00E95E3B" w:rsidP="00E95E3B">
      <w:pPr>
        <w:ind w:left="-180" w:firstLine="180"/>
        <w:rPr>
          <w:sz w:val="24"/>
          <w:szCs w:val="24"/>
        </w:rPr>
      </w:pPr>
    </w:p>
    <w:p w:rsidR="00E95E3B" w:rsidRPr="007513ED" w:rsidRDefault="00E95E3B" w:rsidP="00E95E3B">
      <w:pPr>
        <w:ind w:left="-180" w:firstLine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E3B" w:rsidRDefault="00E95E3B" w:rsidP="00E95E3B"/>
    <w:p w:rsidR="00E95E3B" w:rsidRDefault="00E95E3B" w:rsidP="00E95E3B"/>
    <w:p w:rsidR="00E95E3B" w:rsidRDefault="00E95E3B" w:rsidP="00E95E3B"/>
    <w:p w:rsidR="00E71C65" w:rsidRDefault="00E71C65"/>
    <w:sectPr w:rsidR="00E71C65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97" w:rsidRDefault="0025107D">
      <w:r>
        <w:separator/>
      </w:r>
    </w:p>
  </w:endnote>
  <w:endnote w:type="continuationSeparator" w:id="0">
    <w:p w:rsidR="000C4097" w:rsidRDefault="0025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50" w:rsidRDefault="00E95E3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0C5EF6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97" w:rsidRDefault="0025107D">
      <w:r>
        <w:separator/>
      </w:r>
    </w:p>
  </w:footnote>
  <w:footnote w:type="continuationSeparator" w:id="0">
    <w:p w:rsidR="000C4097" w:rsidRDefault="0025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70A4B50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7D6FB4"/>
    <w:multiLevelType w:val="hybridMultilevel"/>
    <w:tmpl w:val="5614AE84"/>
    <w:lvl w:ilvl="0" w:tplc="3EA487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3B"/>
    <w:rsid w:val="000C4097"/>
    <w:rsid w:val="000C5EF6"/>
    <w:rsid w:val="0025107D"/>
    <w:rsid w:val="00E33FD0"/>
    <w:rsid w:val="00E71C65"/>
    <w:rsid w:val="00E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E95E3B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95E3B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E95E3B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E95E3B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E95E3B"/>
  </w:style>
  <w:style w:type="paragraph" w:styleId="Seznam2">
    <w:name w:val="List 2"/>
    <w:basedOn w:val="Normln"/>
    <w:rsid w:val="00E95E3B"/>
    <w:pPr>
      <w:ind w:left="566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F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E95E3B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E95E3B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E95E3B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E95E3B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E95E3B"/>
  </w:style>
  <w:style w:type="paragraph" w:styleId="Seznam2">
    <w:name w:val="List 2"/>
    <w:basedOn w:val="Normln"/>
    <w:rsid w:val="00E95E3B"/>
    <w:pPr>
      <w:ind w:left="566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F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1070</Words>
  <Characters>6318</Characters>
  <Application>Microsoft Office Word</Application>
  <DocSecurity>0</DocSecurity>
  <Lines>52</Lines>
  <Paragraphs>14</Paragraphs>
  <ScaleCrop>false</ScaleCrop>
  <Company>.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4</cp:revision>
  <cp:lastPrinted>2012-06-06T12:37:00Z</cp:lastPrinted>
  <dcterms:created xsi:type="dcterms:W3CDTF">2012-05-18T09:18:00Z</dcterms:created>
  <dcterms:modified xsi:type="dcterms:W3CDTF">2012-06-06T12:37:00Z</dcterms:modified>
</cp:coreProperties>
</file>