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DA" w:rsidRDefault="008339DA" w:rsidP="000E2434">
      <w:pPr>
        <w:pStyle w:val="nadpcent"/>
        <w:outlineLvl w:val="0"/>
        <w:rPr>
          <w:lang w:val="de-DE"/>
        </w:rPr>
      </w:pPr>
      <w:r>
        <w:rPr>
          <w:lang w:val="de-DE"/>
        </w:rPr>
        <w:t>Důvodová zpráva</w:t>
      </w:r>
    </w:p>
    <w:p w:rsidR="008339DA" w:rsidRDefault="008339DA" w:rsidP="002C4C92">
      <w:pPr>
        <w:pStyle w:val="ostzahl"/>
      </w:pPr>
      <w:r>
        <w:t>Název problému a jeho charakteristika</w:t>
      </w:r>
    </w:p>
    <w:p w:rsidR="00474182" w:rsidRPr="00CF452E" w:rsidRDefault="00A81EA7" w:rsidP="001E2AB8">
      <w:pPr>
        <w:pStyle w:val="Paragrafneslovan"/>
        <w:rPr>
          <w:szCs w:val="24"/>
        </w:rPr>
      </w:pPr>
      <w:r>
        <w:t xml:space="preserve">Poskytnutí </w:t>
      </w:r>
      <w:r w:rsidR="00BC4C7D">
        <w:t xml:space="preserve">neinvestiční </w:t>
      </w:r>
      <w:r>
        <w:t>dotace na podporu realizace festivalu Smetanovské dny v rámci tříletého grantu na léta 2013-2015.</w:t>
      </w:r>
    </w:p>
    <w:p w:rsidR="008339DA" w:rsidRDefault="008339DA" w:rsidP="002C4C92">
      <w:pPr>
        <w:pStyle w:val="ostzahl"/>
      </w:pPr>
      <w:r>
        <w:t>Konstatování současného stavu a jeho analýza</w:t>
      </w:r>
    </w:p>
    <w:p w:rsidR="00A81EA7" w:rsidRDefault="00A81EA7" w:rsidP="00D144E1">
      <w:pPr>
        <w:ind w:left="357"/>
        <w:jc w:val="both"/>
      </w:pPr>
      <w:r>
        <w:t xml:space="preserve">Tříletý grant na podporu realizace festivalu Smetanovské dny na léta 2013-2015 vyhlásilo statutární město Plzeň prostřednictvím Odboru kultury Magistrátu města Plzně v souladu s usnesením RMP </w:t>
      </w:r>
      <w:r w:rsidR="00753FC7">
        <w:t xml:space="preserve">č. </w:t>
      </w:r>
      <w:r w:rsidR="007E0D61">
        <w:t>77</w:t>
      </w:r>
      <w:r w:rsidR="00753FC7">
        <w:t xml:space="preserve">7 </w:t>
      </w:r>
      <w:r w:rsidR="006863B8">
        <w:t xml:space="preserve">ze </w:t>
      </w:r>
      <w:r w:rsidR="00753FC7">
        <w:t xml:space="preserve">dne </w:t>
      </w:r>
      <w:r w:rsidR="007E0D61">
        <w:t>31</w:t>
      </w:r>
      <w:r w:rsidR="00753FC7">
        <w:t xml:space="preserve">. </w:t>
      </w:r>
      <w:r w:rsidR="007E0D61">
        <w:t>5</w:t>
      </w:r>
      <w:r w:rsidR="00753FC7">
        <w:t>. 20</w:t>
      </w:r>
      <w:r w:rsidR="007E0D61">
        <w:t>12</w:t>
      </w:r>
      <w:r>
        <w:t>, s cíli Programu rozvoje kultury ve městě Plzni na léta 2009-2019 a koncepcí projektu Plzeň – Evropské hlavní město kultury 2015.</w:t>
      </w:r>
      <w:r w:rsidR="00753FC7">
        <w:t xml:space="preserve"> </w:t>
      </w:r>
    </w:p>
    <w:p w:rsidR="00A81EA7" w:rsidRDefault="00535AC0" w:rsidP="00D144E1">
      <w:pPr>
        <w:ind w:left="357"/>
        <w:jc w:val="both"/>
      </w:pPr>
      <w:r>
        <w:t xml:space="preserve">Pro </w:t>
      </w:r>
      <w:r w:rsidR="00A81EA7">
        <w:t xml:space="preserve">tento tříletý grant budou </w:t>
      </w:r>
      <w:r>
        <w:t>použity</w:t>
      </w:r>
      <w:r w:rsidR="00A81EA7">
        <w:t xml:space="preserve"> </w:t>
      </w:r>
      <w:r>
        <w:t>prostředky účelově zablokované ve FRR ve</w:t>
      </w:r>
      <w:r w:rsidR="00A81EA7">
        <w:t xml:space="preserve"> výši 1 500 000 Kč</w:t>
      </w:r>
      <w:r>
        <w:t xml:space="preserve"> pro rok 2013, 1 500 000 Kč pro rok 2014, 2 000 000 Kč</w:t>
      </w:r>
      <w:r w:rsidR="00B324B8" w:rsidRPr="00B324B8">
        <w:t xml:space="preserve"> </w:t>
      </w:r>
      <w:r w:rsidR="00B324B8">
        <w:t>pro rok 2015</w:t>
      </w:r>
      <w:r>
        <w:t>, tedy v celkové výši 5 000 000 Kč.</w:t>
      </w:r>
    </w:p>
    <w:p w:rsidR="00535AC0" w:rsidRDefault="00535AC0" w:rsidP="00D144E1">
      <w:pPr>
        <w:ind w:left="357"/>
        <w:jc w:val="both"/>
      </w:pPr>
      <w:r>
        <w:t>Vyhlášení grantu bylo vyvěšeno na úředních deskách MMP, MO, na oficiálních internetových stránkách města a inzerováno v tisku (</w:t>
      </w:r>
      <w:r w:rsidR="00E67DF2">
        <w:t>MF Dnes, Plzeňský deník, Lidové noviny pro oblast Praha).</w:t>
      </w:r>
    </w:p>
    <w:p w:rsidR="00E67DF2" w:rsidRDefault="00E67DF2" w:rsidP="00D144E1">
      <w:pPr>
        <w:ind w:left="357"/>
        <w:jc w:val="both"/>
      </w:pPr>
      <w:r>
        <w:t>Uzávěrka přijímání žádostí byla stanovena na 15. 8. 2012. K tomuto termínu přijal Odbor kultury MMP dvě žádosti, a to SD/1 žadatele NASHLEDANOU s. r. o., IČ 26369</w:t>
      </w:r>
      <w:r w:rsidR="00BA578B">
        <w:t>2</w:t>
      </w:r>
      <w:r w:rsidR="00B60CDE">
        <w:t>90 a </w:t>
      </w:r>
      <w:r>
        <w:t xml:space="preserve">žádost SD/2 žadatele Plzeňská filharmonie, o. p. s., IČ 25224662. Odbor kultury MMP </w:t>
      </w:r>
      <w:r w:rsidR="0040075F">
        <w:t xml:space="preserve">v souladu s podmínkami vyhlášeného grantu </w:t>
      </w:r>
      <w:r>
        <w:t xml:space="preserve">provedl </w:t>
      </w:r>
      <w:r w:rsidR="0040075F">
        <w:t xml:space="preserve">předběžnou </w:t>
      </w:r>
      <w:r>
        <w:t>kontrolu formální správnosti</w:t>
      </w:r>
      <w:r w:rsidR="0040075F">
        <w:t xml:space="preserve"> a ve spolupráci s externími odbornými konzultanty připravil hodnocení strategických kritérií včetně slovního komentáře jako podklad pro jednání Komise kultury RMP.</w:t>
      </w:r>
    </w:p>
    <w:p w:rsidR="00EB3CDA" w:rsidRDefault="00EB3CDA" w:rsidP="00D144E1">
      <w:pPr>
        <w:ind w:left="357"/>
        <w:jc w:val="both"/>
      </w:pPr>
    </w:p>
    <w:p w:rsidR="00EB3CDA" w:rsidRPr="00EB3CDA" w:rsidRDefault="00EB3CDA" w:rsidP="00D144E1">
      <w:pPr>
        <w:ind w:left="357"/>
        <w:jc w:val="both"/>
        <w:rPr>
          <w:b/>
        </w:rPr>
      </w:pPr>
      <w:r w:rsidRPr="00EB3CDA">
        <w:rPr>
          <w:b/>
        </w:rPr>
        <w:t>NASHLEDANOU s. r. o. (SD/1)</w:t>
      </w:r>
    </w:p>
    <w:p w:rsidR="00EB3CDA" w:rsidRDefault="00EB3CDA" w:rsidP="00D144E1">
      <w:pPr>
        <w:ind w:left="357"/>
        <w:jc w:val="both"/>
      </w:pPr>
    </w:p>
    <w:p w:rsidR="00AC2168" w:rsidRDefault="00AC2168" w:rsidP="00AC2168">
      <w:pPr>
        <w:ind w:left="357"/>
        <w:jc w:val="both"/>
      </w:pPr>
      <w:r>
        <w:t>Společnost NASHLEDANOU s. r. o. byla založena v roce 2004. Předmětem její činnosti je agenturní činnost v oblasti kultury a umění, pořádání kulturních produkcí a provozování zařízení sloužících k zábavě, reklamní a marketingová činnost atd.</w:t>
      </w:r>
    </w:p>
    <w:p w:rsidR="00AC2168" w:rsidRDefault="00AC2168" w:rsidP="00AC2168">
      <w:pPr>
        <w:ind w:left="357"/>
        <w:jc w:val="both"/>
      </w:pPr>
      <w:r>
        <w:t xml:space="preserve">Žadatel se orientuje na plzeňské kulturní scéně, což se pozitivně odráží v návrhu koncepce projektu. Je známý pořádáním významných lokálních či regionálních kulturně společenských akcí spíše zábavního charakteru. V žánrech a prostředí klasické hudby je tento žadatel nováčkem. Odborným garantem programu festivalu je </w:t>
      </w:r>
      <w:proofErr w:type="spellStart"/>
      <w:r w:rsidR="00B60CDE">
        <w:t>MgA</w:t>
      </w:r>
      <w:proofErr w:type="spellEnd"/>
      <w:r w:rsidR="00B60CDE">
        <w:t>. Zbyněk Brabec, tenorista a </w:t>
      </w:r>
      <w:r>
        <w:t xml:space="preserve">dramaturg Divadla J. K. Tyla Plzeň. Festival Smetanovské dny v pojetí společnosti NASHLEDANOU oslovuje širší spektrum publika. Velmi zajímavou </w:t>
      </w:r>
      <w:r w:rsidRPr="004C3A06">
        <w:rPr>
          <w:color w:val="000000" w:themeColor="text1"/>
        </w:rPr>
        <w:t xml:space="preserve">možností je </w:t>
      </w:r>
      <w:r>
        <w:t xml:space="preserve">slibované nastudování Smetanovy Prodané nevěsty Open Air na návsi v Plzni Bolevci v jednom z následujících ročníků Smetanovských dnů (2014 nebo 2015, přesný rok žádost neuvádí). Navrhovaný projekt má podrobně vypracovaný mediální plán, bohužel v žádosti chybí rozpracování dramaturgií na další roky 2014 a 2015. Dále v žádosti </w:t>
      </w:r>
      <w:r w:rsidRPr="004C3A06">
        <w:rPr>
          <w:color w:val="000000" w:themeColor="text1"/>
        </w:rPr>
        <w:t xml:space="preserve">není zmíněno </w:t>
      </w:r>
      <w:r>
        <w:t>možné propojení s Mezinárodní smetanovskou klavírní soutěží a Plzeňským sympoziem, což byl jeden z požadavků ve vyhlášení grantu.</w:t>
      </w:r>
    </w:p>
    <w:p w:rsidR="00AC2168" w:rsidRDefault="00AC2168" w:rsidP="00AC2168">
      <w:pPr>
        <w:ind w:left="357"/>
        <w:jc w:val="both"/>
      </w:pPr>
      <w:r>
        <w:t xml:space="preserve">Žádost společnosti NASHLEDANOU slibuje originální dramaturgii festivalu s oslovením širšího spektra publika, bohužel s nedostatečnou orientací na poli klasické hudby a bez dostatečně silné mediální pozice na tomto poli. </w:t>
      </w:r>
    </w:p>
    <w:p w:rsidR="00AC2168" w:rsidRDefault="00AC2168" w:rsidP="00AC2168">
      <w:pPr>
        <w:ind w:left="357"/>
        <w:jc w:val="both"/>
      </w:pPr>
    </w:p>
    <w:p w:rsidR="00AC2168" w:rsidRDefault="00FD515F" w:rsidP="00AC2168">
      <w:pPr>
        <w:ind w:left="357"/>
        <w:jc w:val="both"/>
      </w:pPr>
      <w:r>
        <w:br w:type="column"/>
      </w:r>
      <w:r w:rsidR="00AC2168">
        <w:lastRenderedPageBreak/>
        <w:t>Žadatel není příjemcem finanční podpory z rozpočtu města Plzně za roky 2010-2012.</w:t>
      </w:r>
    </w:p>
    <w:p w:rsidR="00AC2168" w:rsidRDefault="00AC2168" w:rsidP="00AC2168">
      <w:pPr>
        <w:ind w:left="357"/>
        <w:jc w:val="both"/>
      </w:pPr>
    </w:p>
    <w:tbl>
      <w:tblPr>
        <w:tblW w:w="0" w:type="auto"/>
        <w:tblInd w:w="4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3"/>
        <w:gridCol w:w="613"/>
        <w:gridCol w:w="3459"/>
        <w:gridCol w:w="1905"/>
      </w:tblGrid>
      <w:tr w:rsidR="00AC2168" w:rsidTr="00596F90">
        <w:trPr>
          <w:trHeight w:val="268"/>
        </w:trPr>
        <w:tc>
          <w:tcPr>
            <w:tcW w:w="253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26369290</w:t>
            </w:r>
          </w:p>
        </w:tc>
        <w:tc>
          <w:tcPr>
            <w:tcW w:w="3459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P/III/33 Folkový slunovrat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P/III/34 Festival dechových hudeb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2010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P/III/56 - Festival dechových hudeb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P/III/57 - Folkový slunovrat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C2168" w:rsidTr="00596F90">
        <w:trPr>
          <w:trHeight w:val="268"/>
        </w:trPr>
        <w:tc>
          <w:tcPr>
            <w:tcW w:w="19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2010 - 2012</w:t>
            </w:r>
          </w:p>
        </w:tc>
        <w:tc>
          <w:tcPr>
            <w:tcW w:w="6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99" w:fill="auto"/>
          </w:tcPr>
          <w:p w:rsidR="00AC2168" w:rsidRDefault="00AC2168" w:rsidP="002932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E6B84" w:rsidRDefault="00BE6B84" w:rsidP="00D06596">
      <w:pPr>
        <w:jc w:val="both"/>
      </w:pPr>
    </w:p>
    <w:p w:rsidR="00BE6B84" w:rsidRDefault="00E15781" w:rsidP="00D144E1">
      <w:pPr>
        <w:ind w:left="357"/>
        <w:jc w:val="both"/>
        <w:rPr>
          <w:b/>
        </w:rPr>
      </w:pPr>
      <w:r>
        <w:rPr>
          <w:b/>
        </w:rPr>
        <w:t>PLZEŇSKÁ FILHARMONIE, obecně prospěšná společnost</w:t>
      </w:r>
      <w:r w:rsidR="00BE6B84">
        <w:rPr>
          <w:b/>
        </w:rPr>
        <w:t xml:space="preserve"> (SD/2)</w:t>
      </w:r>
    </w:p>
    <w:p w:rsidR="00BE6B84" w:rsidRDefault="00BE6B84" w:rsidP="00D144E1">
      <w:pPr>
        <w:ind w:left="357"/>
        <w:jc w:val="both"/>
        <w:rPr>
          <w:b/>
        </w:rPr>
      </w:pPr>
    </w:p>
    <w:p w:rsidR="00AC2168" w:rsidRDefault="00AC2168" w:rsidP="00AC2168">
      <w:pPr>
        <w:ind w:left="357"/>
        <w:jc w:val="both"/>
      </w:pPr>
      <w:r>
        <w:t>Plzeňská filharmonie byla jako obecně prospěšná společnost založena městem Plzní v roce 1998</w:t>
      </w:r>
      <w:r w:rsidR="00293266">
        <w:t>,</w:t>
      </w:r>
      <w:r>
        <w:t xml:space="preserve"> </w:t>
      </w:r>
      <w:r w:rsidR="00293266">
        <w:t xml:space="preserve">je </w:t>
      </w:r>
      <w:r>
        <w:t>nástupce</w:t>
      </w:r>
      <w:r w:rsidR="00293266">
        <w:t>m</w:t>
      </w:r>
      <w:r>
        <w:t xml:space="preserve"> Plzeňského rozhlasového orchestru a již mnoho let se věnuje špičkové interpretaci klasické hudby a jejímu zpřístupňování co nejširšímu spektru posluchačů, zejména svými cykly symfonických abonentních konce</w:t>
      </w:r>
      <w:r w:rsidR="00B60CDE">
        <w:t>rtů. Svou činnost prezentuje za </w:t>
      </w:r>
      <w:r>
        <w:t>hranicemi plzeňského regionu a prostřednictvím natáčení pro Český rozhlas šíří renomé města Plzně i v rozhlasovém vysílání.</w:t>
      </w:r>
    </w:p>
    <w:p w:rsidR="00AC2168" w:rsidRDefault="00AC2168" w:rsidP="00AC2168">
      <w:pPr>
        <w:ind w:left="357"/>
        <w:jc w:val="both"/>
      </w:pPr>
      <w:r>
        <w:t xml:space="preserve">Plzeňská filharmonie má jako kulturní subjekt významné postavení v rámci ČR a svou koncertní činností posiluje prestiž české kultury v zahraničí. Proto v žádosti využívá své velké předpoklady pro výborné obeznámení jak s žánrem klasické hudby, tak s prostředím. Také v projektu nabízí možnou spolupráci s mezinárodními symfonickými i komorními tělesy a soubory. </w:t>
      </w:r>
    </w:p>
    <w:p w:rsidR="00AC2168" w:rsidRDefault="00AC2168" w:rsidP="00AC2168">
      <w:pPr>
        <w:ind w:left="357"/>
        <w:jc w:val="both"/>
      </w:pPr>
      <w:r>
        <w:t>Dramaturgie projektu je orientována na poučenou část publika a na abonenty Plzeňské filharmonie, chybí dramaturgické zaměření na širší spektrum cílových skupin. Zajímavou částí projektu je propojení festivalu s Nadací 700 let města Plzně, kdy držitelé ceny Plzeňský Orfeus a Plzeňský Orfeus junior 2012 vystoupí v rámci koncertu s Plzeňskou filharmonií.</w:t>
      </w:r>
    </w:p>
    <w:p w:rsidR="00AC2168" w:rsidRDefault="00AC2168" w:rsidP="00AC2168">
      <w:pPr>
        <w:ind w:left="357"/>
        <w:jc w:val="both"/>
      </w:pPr>
      <w:r>
        <w:t>Žádost Plzeňské filharmonie slibuje důstojný rozměr festivalu klasické hudby s konzervativní dramaturgií bez využití možnosti oslovit širší spektrum publika. Přesto postavení filharmonie garantuje mezinárodní spolupráci s</w:t>
      </w:r>
      <w:r w:rsidR="00B60CDE">
        <w:t>e</w:t>
      </w:r>
      <w:r>
        <w:t> </w:t>
      </w:r>
      <w:r w:rsidR="00B60CDE">
        <w:t>zahraničními</w:t>
      </w:r>
      <w:r>
        <w:t xml:space="preserve"> tělesy a soubory v dalších letech festivalu (2014 a 2015). </w:t>
      </w:r>
    </w:p>
    <w:p w:rsidR="00AC2168" w:rsidRDefault="00AC2168" w:rsidP="00AC2168">
      <w:pPr>
        <w:jc w:val="both"/>
      </w:pPr>
    </w:p>
    <w:tbl>
      <w:tblPr>
        <w:tblW w:w="7660" w:type="dxa"/>
        <w:tblInd w:w="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541"/>
        <w:gridCol w:w="3827"/>
        <w:gridCol w:w="1637"/>
      </w:tblGrid>
      <w:tr w:rsidR="00AC2168" w:rsidTr="00293266">
        <w:trPr>
          <w:trHeight w:val="240"/>
        </w:trPr>
        <w:tc>
          <w:tcPr>
            <w:tcW w:w="7660" w:type="dxa"/>
            <w:gridSpan w:val="4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IČO 25224662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Zdroj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C5C5C5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schválená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celoroční činnost 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12000000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12000000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3letý grant - celoroční činnost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12000000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12000000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činnost spol. Plzeňská filharmonie, o.p.s.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15000000</w:t>
            </w:r>
          </w:p>
        </w:tc>
      </w:tr>
      <w:tr w:rsidR="00AC2168" w:rsidTr="00293266">
        <w:trPr>
          <w:trHeight w:val="48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MMP-OK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P/IV/27 - Cyklus 3 symfonických koncertů v rámci festivalu Smetanovské dny Plzeň 2012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auto" w:fill="auto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190000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15190000</w:t>
            </w:r>
          </w:p>
        </w:tc>
      </w:tr>
      <w:tr w:rsidR="00AC2168" w:rsidTr="00293266">
        <w:trPr>
          <w:trHeight w:val="240"/>
        </w:trPr>
        <w:tc>
          <w:tcPr>
            <w:tcW w:w="1655" w:type="dxa"/>
            <w:tcBorders>
              <w:top w:val="nil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 2010 - 2012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6C6C6C"/>
              <w:right w:val="single" w:sz="4" w:space="0" w:color="6C6C6C"/>
            </w:tcBorders>
            <w:shd w:val="clear" w:color="000000" w:fill="F0E68C"/>
            <w:vAlign w:val="bottom"/>
            <w:hideMark/>
          </w:tcPr>
          <w:p w:rsidR="00AC2168" w:rsidRDefault="00AC2168" w:rsidP="002932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39190000</w:t>
            </w:r>
          </w:p>
        </w:tc>
      </w:tr>
    </w:tbl>
    <w:p w:rsidR="007D4FFC" w:rsidRDefault="007D4FFC" w:rsidP="00D144E1">
      <w:pPr>
        <w:ind w:left="357"/>
        <w:jc w:val="both"/>
      </w:pPr>
    </w:p>
    <w:p w:rsidR="007D4FFC" w:rsidRDefault="007D4FFC" w:rsidP="00D144E1">
      <w:pPr>
        <w:ind w:left="357"/>
        <w:jc w:val="both"/>
      </w:pPr>
      <w:r>
        <w:t>Oba žadatelé využili možnosti prezentace svých projektů. Prezentace se uskutečnila 12. 9. 2012 za přítomnosti členů Komise kultury RMP a zástupců Odboru kultury MMP.</w:t>
      </w:r>
    </w:p>
    <w:p w:rsidR="00EB3CDA" w:rsidRPr="00596F90" w:rsidRDefault="007D4FFC" w:rsidP="00596F90">
      <w:pPr>
        <w:ind w:left="357"/>
        <w:jc w:val="both"/>
        <w:rPr>
          <w:color w:val="000000" w:themeColor="text1"/>
        </w:rPr>
      </w:pPr>
      <w:r w:rsidRPr="00F058FF">
        <w:rPr>
          <w:color w:val="000000" w:themeColor="text1"/>
        </w:rPr>
        <w:t xml:space="preserve">Komise kultury přijala usnesení č. </w:t>
      </w:r>
      <w:r w:rsidR="00B324B8" w:rsidRPr="00F058FF">
        <w:rPr>
          <w:color w:val="000000" w:themeColor="text1"/>
        </w:rPr>
        <w:t>26</w:t>
      </w:r>
      <w:r w:rsidRPr="00F058FF">
        <w:rPr>
          <w:color w:val="000000" w:themeColor="text1"/>
        </w:rPr>
        <w:t>/12 (viz příloha č.</w:t>
      </w:r>
      <w:r w:rsidR="00F058FF" w:rsidRPr="00F058FF">
        <w:rPr>
          <w:color w:val="000000" w:themeColor="text1"/>
        </w:rPr>
        <w:t xml:space="preserve"> 5</w:t>
      </w:r>
      <w:r w:rsidRPr="00F058FF">
        <w:rPr>
          <w:color w:val="000000" w:themeColor="text1"/>
        </w:rPr>
        <w:t xml:space="preserve">), kterým </w:t>
      </w:r>
      <w:r w:rsidR="00B60CDE">
        <w:rPr>
          <w:color w:val="000000" w:themeColor="text1"/>
        </w:rPr>
        <w:t xml:space="preserve">jednomyslně </w:t>
      </w:r>
      <w:r w:rsidR="000160D9">
        <w:rPr>
          <w:color w:val="000000" w:themeColor="text1"/>
        </w:rPr>
        <w:t>doporučila</w:t>
      </w:r>
      <w:r w:rsidRPr="00F058FF">
        <w:rPr>
          <w:color w:val="000000" w:themeColor="text1"/>
        </w:rPr>
        <w:t xml:space="preserve"> RMP </w:t>
      </w:r>
      <w:r w:rsidR="000160D9">
        <w:rPr>
          <w:color w:val="000000" w:themeColor="text1"/>
        </w:rPr>
        <w:t>podpořit</w:t>
      </w:r>
      <w:r w:rsidRPr="00F058FF">
        <w:rPr>
          <w:color w:val="000000" w:themeColor="text1"/>
        </w:rPr>
        <w:t xml:space="preserve"> žádost SD/</w:t>
      </w:r>
      <w:r w:rsidR="0077687B" w:rsidRPr="00F058FF">
        <w:rPr>
          <w:color w:val="000000" w:themeColor="text1"/>
        </w:rPr>
        <w:t>2</w:t>
      </w:r>
      <w:r w:rsidRPr="00F058FF">
        <w:rPr>
          <w:color w:val="000000" w:themeColor="text1"/>
        </w:rPr>
        <w:t xml:space="preserve"> žadatele </w:t>
      </w:r>
      <w:r w:rsidR="0077687B" w:rsidRPr="00F058FF">
        <w:rPr>
          <w:color w:val="000000" w:themeColor="text1"/>
        </w:rPr>
        <w:t>Plzeňská filharmonie, o. p. s.</w:t>
      </w:r>
      <w:r w:rsidR="00B60CDE">
        <w:rPr>
          <w:color w:val="000000" w:themeColor="text1"/>
        </w:rPr>
        <w:t>, IČ </w:t>
      </w:r>
      <w:r w:rsidR="002E2DF6" w:rsidRPr="00F058FF">
        <w:rPr>
          <w:color w:val="000000" w:themeColor="text1"/>
        </w:rPr>
        <w:t>25224662</w:t>
      </w:r>
      <w:r w:rsidR="00B60CDE">
        <w:rPr>
          <w:color w:val="000000" w:themeColor="text1"/>
        </w:rPr>
        <w:t xml:space="preserve"> a poskytnout </w:t>
      </w:r>
      <w:r w:rsidR="000160D9">
        <w:rPr>
          <w:color w:val="000000" w:themeColor="text1"/>
        </w:rPr>
        <w:t xml:space="preserve">žadateli </w:t>
      </w:r>
      <w:r w:rsidR="00BC4C7D">
        <w:rPr>
          <w:color w:val="000000" w:themeColor="text1"/>
        </w:rPr>
        <w:t xml:space="preserve">neinvestiční </w:t>
      </w:r>
      <w:r w:rsidR="00220048" w:rsidRPr="00F058FF">
        <w:rPr>
          <w:color w:val="000000" w:themeColor="text1"/>
        </w:rPr>
        <w:t>dotac</w:t>
      </w:r>
      <w:r w:rsidR="00B60CDE">
        <w:rPr>
          <w:color w:val="000000" w:themeColor="text1"/>
        </w:rPr>
        <w:t>i</w:t>
      </w:r>
      <w:r w:rsidR="00220048" w:rsidRPr="00F058FF">
        <w:rPr>
          <w:color w:val="000000" w:themeColor="text1"/>
        </w:rPr>
        <w:t xml:space="preserve"> ve výši </w:t>
      </w:r>
      <w:r w:rsidR="00220048">
        <w:rPr>
          <w:color w:val="000000" w:themeColor="text1"/>
        </w:rPr>
        <w:t>5 000 000 Kč</w:t>
      </w:r>
      <w:r w:rsidR="000160D9">
        <w:rPr>
          <w:color w:val="000000" w:themeColor="text1"/>
        </w:rPr>
        <w:t>. Rada města Plzně</w:t>
      </w:r>
      <w:r w:rsidR="00C86566">
        <w:rPr>
          <w:color w:val="000000" w:themeColor="text1"/>
        </w:rPr>
        <w:t xml:space="preserve"> </w:t>
      </w:r>
      <w:r w:rsidR="00F10EB4">
        <w:rPr>
          <w:color w:val="000000" w:themeColor="text1"/>
        </w:rPr>
        <w:t xml:space="preserve">na základě stanoviska KK RMP doporučila usnesením č. 1317 ze dne 27. 9. 2012 ZMP schválit dotaci ve výši 5 000 000 Kč na podporu realizace festivalu Smetanovské dny Plzeňské filharmonii, o. p. s. </w:t>
      </w:r>
    </w:p>
    <w:p w:rsidR="008339DA" w:rsidRDefault="00967DB5" w:rsidP="002C4C92">
      <w:pPr>
        <w:pStyle w:val="ostzahl"/>
      </w:pPr>
      <w:r>
        <w:lastRenderedPageBreak/>
        <w:t xml:space="preserve">Předpokládaný </w:t>
      </w:r>
      <w:r w:rsidR="008339DA">
        <w:t>cílový stav</w:t>
      </w:r>
    </w:p>
    <w:p w:rsidR="00647303" w:rsidRPr="00170AB6" w:rsidRDefault="004B27CF" w:rsidP="00170AB6">
      <w:pPr>
        <w:pStyle w:val="vlevo"/>
      </w:pPr>
      <w:r w:rsidRPr="00170AB6">
        <w:t xml:space="preserve">Poskytnutí </w:t>
      </w:r>
      <w:r w:rsidR="00BC4C7D">
        <w:t xml:space="preserve">neinvestiční </w:t>
      </w:r>
      <w:r w:rsidRPr="00170AB6">
        <w:t>dotace na podporu realizace festivalu Smetanovské dny v rámci tříletého grantu v oblasti kultury na léta 2013-2015.</w:t>
      </w:r>
    </w:p>
    <w:p w:rsidR="008339DA" w:rsidRPr="00170AB6" w:rsidRDefault="008339DA" w:rsidP="00170AB6">
      <w:pPr>
        <w:pStyle w:val="vlevo"/>
        <w:rPr>
          <w:sz w:val="18"/>
          <w:szCs w:val="18"/>
        </w:rPr>
      </w:pPr>
    </w:p>
    <w:p w:rsidR="008339DA" w:rsidRDefault="008339DA" w:rsidP="002C4C92">
      <w:pPr>
        <w:pStyle w:val="ostzahl"/>
      </w:pPr>
      <w:r>
        <w:t>Navrhované varianty řešení</w:t>
      </w:r>
    </w:p>
    <w:p w:rsidR="002D296E" w:rsidRPr="00C339E4" w:rsidRDefault="004B27CF" w:rsidP="001E2AB8">
      <w:pPr>
        <w:pStyle w:val="Paragrafneslovan"/>
      </w:pPr>
      <w:r>
        <w:t>Souhlasit</w:t>
      </w:r>
      <w:r w:rsidR="00523D1F">
        <w:t xml:space="preserve"> s poskytnutím </w:t>
      </w:r>
      <w:r w:rsidR="00BC4C7D">
        <w:t xml:space="preserve">neinvestiční </w:t>
      </w:r>
      <w:r w:rsidR="00523D1F">
        <w:t xml:space="preserve">dotace v celkové výši 5 000 000 Kč v rámci tříletého grantu na podporu realizace festivalu Smetanovské dny na léta 2013-2015 žadateli Plzeňská filharmonie, o. p. s., IČ 25224662, </w:t>
      </w:r>
      <w:r>
        <w:t>nesouhlasit</w:t>
      </w:r>
      <w:r w:rsidR="00B60CDE">
        <w:t xml:space="preserve"> s poskytnutím dotace </w:t>
      </w:r>
      <w:r w:rsidR="00523D1F">
        <w:t>žadateli NASHLEDANOU s. r. o., IČ 26369290</w:t>
      </w:r>
      <w:r>
        <w:t>.</w:t>
      </w:r>
    </w:p>
    <w:p w:rsidR="005F6A16" w:rsidRPr="00170AB6" w:rsidRDefault="005F6A16" w:rsidP="00170AB6">
      <w:pPr>
        <w:pStyle w:val="vlevo"/>
        <w:rPr>
          <w:sz w:val="18"/>
          <w:szCs w:val="18"/>
        </w:rPr>
      </w:pPr>
    </w:p>
    <w:p w:rsidR="008339DA" w:rsidRDefault="008339DA" w:rsidP="002C4C92">
      <w:pPr>
        <w:pStyle w:val="ostzahl"/>
      </w:pPr>
      <w:r>
        <w:t>Doporučená varianta řešení</w:t>
      </w:r>
    </w:p>
    <w:p w:rsidR="008339DA" w:rsidRDefault="004B27CF" w:rsidP="00170AB6">
      <w:pPr>
        <w:pStyle w:val="vlevo"/>
      </w:pPr>
      <w:r>
        <w:t>Jediná</w:t>
      </w:r>
      <w:r w:rsidR="00967DB5">
        <w:t xml:space="preserve"> </w:t>
      </w:r>
      <w:r w:rsidR="00B324B8">
        <w:t>navržen</w:t>
      </w:r>
      <w:r w:rsidR="00B60CDE">
        <w:t>á</w:t>
      </w:r>
      <w:r w:rsidR="00B324B8">
        <w:t xml:space="preserve"> </w:t>
      </w:r>
      <w:r w:rsidR="00967DB5">
        <w:t xml:space="preserve">varianta </w:t>
      </w:r>
      <w:r w:rsidR="00B324B8">
        <w:t xml:space="preserve">je </w:t>
      </w:r>
      <w:r w:rsidR="00967DB5">
        <w:t>doporučen</w:t>
      </w:r>
      <w:r>
        <w:t>á</w:t>
      </w:r>
      <w:r w:rsidR="00967DB5">
        <w:t xml:space="preserve"> R</w:t>
      </w:r>
      <w:r w:rsidR="00C7750F">
        <w:t xml:space="preserve">adou města </w:t>
      </w:r>
      <w:r w:rsidR="00967DB5">
        <w:t>P</w:t>
      </w:r>
      <w:r w:rsidR="00C7750F">
        <w:t>lzně usnesení</w:t>
      </w:r>
      <w:r w:rsidR="00523D1F">
        <w:t>m</w:t>
      </w:r>
      <w:r w:rsidR="00C7750F">
        <w:t xml:space="preserve"> č. 1317</w:t>
      </w:r>
      <w:r w:rsidR="00523D1F">
        <w:t xml:space="preserve"> ze dne 27. 9. 2012</w:t>
      </w:r>
      <w:r w:rsidR="00967DB5">
        <w:t>.</w:t>
      </w:r>
    </w:p>
    <w:p w:rsidR="00562463" w:rsidRPr="00170AB6" w:rsidRDefault="00562463" w:rsidP="00170AB6">
      <w:pPr>
        <w:pStyle w:val="vlevo"/>
        <w:rPr>
          <w:sz w:val="18"/>
          <w:szCs w:val="18"/>
        </w:rPr>
      </w:pPr>
    </w:p>
    <w:p w:rsidR="008339DA" w:rsidRDefault="008339DA" w:rsidP="002C4C92">
      <w:pPr>
        <w:pStyle w:val="ostzahl"/>
      </w:pPr>
      <w:r>
        <w:t>Finanční nároky řešení a možnosti finančního krytí</w:t>
      </w:r>
      <w:r w:rsidR="002F364E">
        <w:t xml:space="preserve"> (včetně všech následných</w:t>
      </w:r>
      <w:r w:rsidR="004A7EFE">
        <w:t>,</w:t>
      </w:r>
      <w:r w:rsidR="002F364E">
        <w:t xml:space="preserve"> například provozních nákladů)</w:t>
      </w:r>
    </w:p>
    <w:p w:rsidR="00FC6365" w:rsidRPr="00FD515F" w:rsidRDefault="00BC4C7D" w:rsidP="00170AB6">
      <w:pPr>
        <w:pStyle w:val="vlevo"/>
      </w:pPr>
      <w:r>
        <w:t>Neinvestiční d</w:t>
      </w:r>
      <w:bookmarkStart w:id="0" w:name="_GoBack"/>
      <w:bookmarkEnd w:id="0"/>
      <w:r w:rsidR="00B324B8" w:rsidRPr="00FD515F">
        <w:t>otace bude v jednotlivých letech 2013 – 2015</w:t>
      </w:r>
      <w:r w:rsidR="007825AC" w:rsidRPr="00FD515F">
        <w:t xml:space="preserve"> </w:t>
      </w:r>
      <w:r w:rsidR="00B324B8" w:rsidRPr="00FD515F">
        <w:t>kryta z prostředků zablokovaných ve FRR MP na finanční krytí tří</w:t>
      </w:r>
      <w:r w:rsidR="00FC6365" w:rsidRPr="00FD515F">
        <w:t xml:space="preserve">letého grantu „Smetanovské dny“. </w:t>
      </w:r>
    </w:p>
    <w:p w:rsidR="00B324B8" w:rsidRPr="00FD515F" w:rsidRDefault="00FC6365" w:rsidP="00170AB6">
      <w:pPr>
        <w:pStyle w:val="vlevo"/>
      </w:pPr>
      <w:r w:rsidRPr="00FD515F">
        <w:t>Vzhledem k tomu, že se jedná o tradiční festival, jehož konání je v zájmu města Plzně, bude OK MMP pro rok 2016 a následující léta nárokovat v rozpočtu každoročně částku ve výši 1,5 mil. Kč s požadavkem na zvýšení rozpočtu, aby fe</w:t>
      </w:r>
      <w:r w:rsidR="00FD515F">
        <w:t xml:space="preserve">stival </w:t>
      </w:r>
      <w:r w:rsidR="00B60CDE" w:rsidRPr="00FD515F">
        <w:t>mohl</w:t>
      </w:r>
      <w:r w:rsidR="00B60CDE">
        <w:t xml:space="preserve"> </w:t>
      </w:r>
      <w:r w:rsidR="00FD515F">
        <w:t>kontinuálně pokračovat a </w:t>
      </w:r>
      <w:r w:rsidRPr="00FD515F">
        <w:t>rozvíjet kulturní nabídku v oblasti vážné hudby.</w:t>
      </w:r>
    </w:p>
    <w:p w:rsidR="00562463" w:rsidRPr="00170AB6" w:rsidRDefault="00562463" w:rsidP="00170AB6">
      <w:pPr>
        <w:pStyle w:val="vlevo"/>
        <w:rPr>
          <w:sz w:val="18"/>
          <w:szCs w:val="18"/>
        </w:rPr>
      </w:pPr>
    </w:p>
    <w:p w:rsidR="008339DA" w:rsidRDefault="008339DA" w:rsidP="002C4C92">
      <w:pPr>
        <w:pStyle w:val="ostzahl"/>
      </w:pPr>
      <w:r>
        <w:t>Návrh termínů realizace a určení zodpovědných pracovníků</w:t>
      </w:r>
    </w:p>
    <w:p w:rsidR="008339DA" w:rsidRDefault="00C20F90" w:rsidP="00170AB6">
      <w:pPr>
        <w:pStyle w:val="vlevo"/>
      </w:pPr>
      <w:r>
        <w:t>V</w:t>
      </w:r>
      <w:r w:rsidR="008339DA">
        <w:t>iz ukládací část návrhu usn</w:t>
      </w:r>
      <w:r>
        <w:t>esení</w:t>
      </w:r>
      <w:r w:rsidR="00967DB5">
        <w:t>.</w:t>
      </w:r>
    </w:p>
    <w:p w:rsidR="00562463" w:rsidRPr="00170AB6" w:rsidRDefault="00562463" w:rsidP="00170AB6">
      <w:pPr>
        <w:pStyle w:val="vlevo"/>
        <w:rPr>
          <w:sz w:val="18"/>
          <w:szCs w:val="18"/>
        </w:rPr>
      </w:pPr>
    </w:p>
    <w:p w:rsidR="008339DA" w:rsidRDefault="008339DA" w:rsidP="002C4C92">
      <w:pPr>
        <w:pStyle w:val="ostzahl"/>
      </w:pPr>
      <w:r>
        <w:t>Dříve přijatá usnesení orgánů města nebo městských obvodů, která s</w:t>
      </w:r>
      <w:r w:rsidR="009A577B">
        <w:t> </w:t>
      </w:r>
      <w:r>
        <w:t>tímto</w:t>
      </w:r>
      <w:r w:rsidR="005878DF">
        <w:t xml:space="preserve"> </w:t>
      </w:r>
      <w:r w:rsidR="000655D1">
        <w:t>návrhem souvis</w:t>
      </w:r>
      <w:r>
        <w:t>í</w:t>
      </w:r>
    </w:p>
    <w:p w:rsidR="005B649A" w:rsidRDefault="001020DE" w:rsidP="00170AB6">
      <w:pPr>
        <w:pStyle w:val="vlevo"/>
      </w:pPr>
      <w:r>
        <w:t>Z</w:t>
      </w:r>
      <w:r w:rsidR="005B649A">
        <w:t xml:space="preserve">MP č. </w:t>
      </w:r>
      <w:r>
        <w:t>597</w:t>
      </w:r>
      <w:r w:rsidR="005B649A">
        <w:t xml:space="preserve"> ze </w:t>
      </w:r>
      <w:r w:rsidR="006E2933">
        <w:t xml:space="preserve">dne </w:t>
      </w:r>
      <w:r>
        <w:t>15</w:t>
      </w:r>
      <w:r w:rsidR="005B649A">
        <w:t>. 1</w:t>
      </w:r>
      <w:r>
        <w:t>0</w:t>
      </w:r>
      <w:r w:rsidR="005B649A">
        <w:t>. 2009</w:t>
      </w:r>
      <w:r w:rsidR="001128B1">
        <w:t xml:space="preserve"> – schválení Programu rozvoje kultury ve městě Plzni na</w:t>
      </w:r>
      <w:r w:rsidR="00BB3928">
        <w:t> </w:t>
      </w:r>
      <w:r w:rsidR="001128B1">
        <w:t>léta 2009</w:t>
      </w:r>
      <w:r w:rsidR="008A3C40">
        <w:t xml:space="preserve"> </w:t>
      </w:r>
      <w:r w:rsidR="006E2933">
        <w:t>–</w:t>
      </w:r>
      <w:r w:rsidR="008A3C40">
        <w:t xml:space="preserve"> 20</w:t>
      </w:r>
      <w:r w:rsidR="001128B1">
        <w:t>19</w:t>
      </w:r>
    </w:p>
    <w:p w:rsidR="00E46355" w:rsidRDefault="00E46355" w:rsidP="00170AB6">
      <w:pPr>
        <w:pStyle w:val="vlevo"/>
      </w:pPr>
      <w:r>
        <w:t>RMP č. 8 ze dne 5. 1. 2012 – přijetí daru ve výši 10 000 000 Kč od FC Viktoria Plzeň</w:t>
      </w:r>
    </w:p>
    <w:p w:rsidR="00E46355" w:rsidRDefault="00E46355" w:rsidP="00170AB6">
      <w:pPr>
        <w:pStyle w:val="vlevo"/>
      </w:pPr>
      <w:r>
        <w:t xml:space="preserve">ZMP č. 19 ze dne 19. 1. 2012 - přijetí daru ve výši 10 000 000 Kč od FC Viktoria Plzeň </w:t>
      </w:r>
    </w:p>
    <w:p w:rsidR="00FA1523" w:rsidRDefault="00FA1523" w:rsidP="00170AB6">
      <w:pPr>
        <w:pStyle w:val="vlevo"/>
      </w:pPr>
      <w:r>
        <w:t xml:space="preserve">RMP č. 777 ze dne 31. 5. 2012 – </w:t>
      </w:r>
      <w:r w:rsidR="00DC6827">
        <w:t xml:space="preserve">vyhlášení tříletého </w:t>
      </w:r>
      <w:r w:rsidR="003B532B">
        <w:t>grantu</w:t>
      </w:r>
      <w:r w:rsidR="00DC6827">
        <w:t xml:space="preserve"> na podporu realizace festivalu Smetanovské dny </w:t>
      </w:r>
      <w:r w:rsidR="003B532B">
        <w:t>v letech 2013-2015</w:t>
      </w:r>
    </w:p>
    <w:p w:rsidR="00E46355" w:rsidRDefault="00E46355" w:rsidP="00170AB6">
      <w:pPr>
        <w:pStyle w:val="vlevo"/>
      </w:pPr>
      <w:r>
        <w:t>RMP č. 1106 ze dne 23. 8. 2012 – jmenování extern</w:t>
      </w:r>
      <w:r w:rsidR="00D06596">
        <w:t xml:space="preserve">ích odborníků v rámci hodnocení </w:t>
      </w:r>
      <w:r>
        <w:t>tříletého grantu na podporu realizace festivalu Smetanovské dny 2013-2015.</w:t>
      </w:r>
    </w:p>
    <w:p w:rsidR="00C7750F" w:rsidRPr="00CF452E" w:rsidRDefault="00C7750F" w:rsidP="00D06596">
      <w:pPr>
        <w:pStyle w:val="Paragrafneslovan"/>
        <w:ind w:left="426"/>
        <w:rPr>
          <w:szCs w:val="24"/>
        </w:rPr>
      </w:pPr>
      <w:r>
        <w:t xml:space="preserve">RMP č. 1317 ze dne 27. 9. 2012 - poskytnutí dotace na podporu realizace </w:t>
      </w:r>
      <w:proofErr w:type="gramStart"/>
      <w:r>
        <w:t>festivalu</w:t>
      </w:r>
      <w:r w:rsidR="00D06596">
        <w:t xml:space="preserve">   </w:t>
      </w:r>
      <w:r w:rsidR="0097141A">
        <w:t>S</w:t>
      </w:r>
      <w:r>
        <w:t>metanovské</w:t>
      </w:r>
      <w:proofErr w:type="gramEnd"/>
      <w:r>
        <w:t xml:space="preserve"> dny v rámci tříletého grantu na léta 2013-2015</w:t>
      </w:r>
    </w:p>
    <w:p w:rsidR="00FA1523" w:rsidRPr="00170AB6" w:rsidRDefault="00FA1523" w:rsidP="00170AB6">
      <w:pPr>
        <w:pStyle w:val="vlevo"/>
        <w:rPr>
          <w:sz w:val="20"/>
          <w:szCs w:val="20"/>
        </w:rPr>
      </w:pPr>
    </w:p>
    <w:p w:rsidR="008339DA" w:rsidRDefault="008339DA" w:rsidP="002C4C92">
      <w:pPr>
        <w:pStyle w:val="ostzahl"/>
      </w:pPr>
      <w:r>
        <w:t>Závazky či pohledávky vůči městu</w:t>
      </w:r>
      <w:r w:rsidR="00EE7E9D">
        <w:t xml:space="preserve"> Plzni</w:t>
      </w:r>
    </w:p>
    <w:p w:rsidR="008339DA" w:rsidRDefault="008339DA" w:rsidP="00170AB6">
      <w:pPr>
        <w:pStyle w:val="vlevo"/>
      </w:pPr>
      <w:r>
        <w:t>Nebyly zjištěny.</w:t>
      </w:r>
    </w:p>
    <w:p w:rsidR="003B5A35" w:rsidRPr="00170AB6" w:rsidRDefault="003B5A35" w:rsidP="00170AB6">
      <w:pPr>
        <w:pStyle w:val="vlevo"/>
        <w:rPr>
          <w:sz w:val="18"/>
          <w:szCs w:val="18"/>
        </w:rPr>
      </w:pPr>
    </w:p>
    <w:p w:rsidR="003B5A35" w:rsidRDefault="003B5A35" w:rsidP="002C4C92">
      <w:pPr>
        <w:pStyle w:val="ostzahl"/>
      </w:pPr>
      <w:r>
        <w:t>Přílohy</w:t>
      </w:r>
    </w:p>
    <w:p w:rsidR="00220048" w:rsidRDefault="00220048" w:rsidP="00170AB6">
      <w:pPr>
        <w:pStyle w:val="vlevo"/>
        <w:numPr>
          <w:ilvl w:val="0"/>
          <w:numId w:val="10"/>
        </w:numPr>
      </w:pPr>
      <w:r>
        <w:t>Vyhlášení tříletého grantu na podporu realizace festivalu Smetanovské dny na léta 2013-2015</w:t>
      </w:r>
    </w:p>
    <w:p w:rsidR="00220048" w:rsidRDefault="00220048" w:rsidP="00170AB6">
      <w:pPr>
        <w:pStyle w:val="vlevo"/>
        <w:numPr>
          <w:ilvl w:val="0"/>
          <w:numId w:val="10"/>
        </w:numPr>
      </w:pPr>
      <w:r>
        <w:t>Žádost SD/1</w:t>
      </w:r>
    </w:p>
    <w:p w:rsidR="00220048" w:rsidRDefault="00220048" w:rsidP="00170AB6">
      <w:pPr>
        <w:pStyle w:val="vlevo"/>
        <w:numPr>
          <w:ilvl w:val="0"/>
          <w:numId w:val="10"/>
        </w:numPr>
      </w:pPr>
      <w:r>
        <w:t>Žádost SD/2</w:t>
      </w:r>
    </w:p>
    <w:p w:rsidR="00220048" w:rsidRDefault="00220048" w:rsidP="00170AB6">
      <w:pPr>
        <w:pStyle w:val="vlevo"/>
        <w:numPr>
          <w:ilvl w:val="0"/>
          <w:numId w:val="10"/>
        </w:numPr>
      </w:pPr>
      <w:r>
        <w:t>Zápis z jednání externích odborníků</w:t>
      </w:r>
      <w:r w:rsidR="006D674F">
        <w:t xml:space="preserve"> ze dne 5. 9. 2012</w:t>
      </w:r>
    </w:p>
    <w:p w:rsidR="003B5A35" w:rsidRDefault="00E877CF" w:rsidP="00170AB6">
      <w:pPr>
        <w:pStyle w:val="vlevo"/>
        <w:numPr>
          <w:ilvl w:val="0"/>
          <w:numId w:val="10"/>
        </w:numPr>
      </w:pPr>
      <w:r>
        <w:t>Výtah ze z</w:t>
      </w:r>
      <w:r w:rsidR="00CF51E7">
        <w:t>ápis</w:t>
      </w:r>
      <w:r>
        <w:t>u</w:t>
      </w:r>
      <w:r w:rsidR="00CF51E7">
        <w:t xml:space="preserve"> z</w:t>
      </w:r>
      <w:r w:rsidR="00134520">
        <w:t xml:space="preserve"> </w:t>
      </w:r>
      <w:r w:rsidR="00CF51E7">
        <w:t>jednání KK RMP</w:t>
      </w:r>
      <w:r w:rsidR="006D674F">
        <w:t xml:space="preserve"> ze dne 12. 9. 2012</w:t>
      </w:r>
    </w:p>
    <w:sectPr w:rsidR="003B5A35" w:rsidSect="00B324B8">
      <w:footerReference w:type="even" r:id="rId9"/>
      <w:footerReference w:type="default" r:id="rId10"/>
      <w:pgSz w:w="11906" w:h="16838"/>
      <w:pgMar w:top="1078" w:right="1286" w:bottom="851" w:left="1260" w:header="708" w:footer="4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1A" w:rsidRDefault="0097141A">
      <w:r>
        <w:separator/>
      </w:r>
    </w:p>
  </w:endnote>
  <w:endnote w:type="continuationSeparator" w:id="0">
    <w:p w:rsidR="0097141A" w:rsidRDefault="0097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A" w:rsidRDefault="0097141A" w:rsidP="009C08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141A" w:rsidRDefault="009714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A" w:rsidRDefault="0097141A" w:rsidP="009C08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4C7D">
      <w:rPr>
        <w:rStyle w:val="slostrnky"/>
        <w:noProof/>
      </w:rPr>
      <w:t>1</w:t>
    </w:r>
    <w:r>
      <w:rPr>
        <w:rStyle w:val="slostrnky"/>
      </w:rPr>
      <w:fldChar w:fldCharType="end"/>
    </w:r>
  </w:p>
  <w:p w:rsidR="0097141A" w:rsidRDefault="0097141A" w:rsidP="00D21135">
    <w:pPr>
      <w:pStyle w:val="Zpat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1A" w:rsidRDefault="0097141A">
      <w:r>
        <w:separator/>
      </w:r>
    </w:p>
  </w:footnote>
  <w:footnote w:type="continuationSeparator" w:id="0">
    <w:p w:rsidR="0097141A" w:rsidRDefault="0097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34D"/>
    <w:multiLevelType w:val="hybridMultilevel"/>
    <w:tmpl w:val="52562FF8"/>
    <w:lvl w:ilvl="0" w:tplc="2D961F04">
      <w:start w:val="2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6"/>
        </w:tabs>
        <w:ind w:left="23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6"/>
        </w:tabs>
        <w:ind w:left="30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6"/>
        </w:tabs>
        <w:ind w:left="37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6"/>
        </w:tabs>
        <w:ind w:left="45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6"/>
        </w:tabs>
        <w:ind w:left="52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6"/>
        </w:tabs>
        <w:ind w:left="59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6"/>
        </w:tabs>
        <w:ind w:left="66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6"/>
        </w:tabs>
        <w:ind w:left="7386" w:hanging="180"/>
      </w:pPr>
    </w:lvl>
  </w:abstractNum>
  <w:abstractNum w:abstractNumId="1">
    <w:nsid w:val="12FA3641"/>
    <w:multiLevelType w:val="singleLevel"/>
    <w:tmpl w:val="28385F66"/>
    <w:lvl w:ilvl="0">
      <w:start w:val="1"/>
      <w:numFmt w:val="decimal"/>
      <w:pStyle w:val="ostzah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2B08FB"/>
    <w:multiLevelType w:val="hybridMultilevel"/>
    <w:tmpl w:val="660C4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6D7C"/>
    <w:multiLevelType w:val="hybridMultilevel"/>
    <w:tmpl w:val="244E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245FC"/>
    <w:multiLevelType w:val="hybridMultilevel"/>
    <w:tmpl w:val="F1585328"/>
    <w:lvl w:ilvl="0" w:tplc="30105396">
      <w:start w:val="1"/>
      <w:numFmt w:val="lowerLetter"/>
      <w:lvlText w:val="%1)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B7A2FD4"/>
    <w:multiLevelType w:val="singleLevel"/>
    <w:tmpl w:val="EFAE8D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6">
    <w:nsid w:val="5F81301B"/>
    <w:multiLevelType w:val="hybridMultilevel"/>
    <w:tmpl w:val="ED36F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C50BCD"/>
    <w:multiLevelType w:val="hybridMultilevel"/>
    <w:tmpl w:val="BF98C5BC"/>
    <w:lvl w:ilvl="0" w:tplc="42E22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03459"/>
    <w:multiLevelType w:val="hybridMultilevel"/>
    <w:tmpl w:val="E8B4DE0A"/>
    <w:lvl w:ilvl="0" w:tplc="EA625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D6"/>
    <w:rsid w:val="00001640"/>
    <w:rsid w:val="00004D93"/>
    <w:rsid w:val="000052EB"/>
    <w:rsid w:val="000056AC"/>
    <w:rsid w:val="00007043"/>
    <w:rsid w:val="00007F85"/>
    <w:rsid w:val="0001249F"/>
    <w:rsid w:val="00015DB8"/>
    <w:rsid w:val="000160D9"/>
    <w:rsid w:val="0002243B"/>
    <w:rsid w:val="0002393A"/>
    <w:rsid w:val="00025048"/>
    <w:rsid w:val="0003348A"/>
    <w:rsid w:val="00043550"/>
    <w:rsid w:val="00050D7A"/>
    <w:rsid w:val="0005669E"/>
    <w:rsid w:val="0006078A"/>
    <w:rsid w:val="00062D37"/>
    <w:rsid w:val="000655D1"/>
    <w:rsid w:val="0007080A"/>
    <w:rsid w:val="000A1E00"/>
    <w:rsid w:val="000A4CEE"/>
    <w:rsid w:val="000B381C"/>
    <w:rsid w:val="000B3CF2"/>
    <w:rsid w:val="000B660C"/>
    <w:rsid w:val="000C1EAC"/>
    <w:rsid w:val="000D00E2"/>
    <w:rsid w:val="000D279D"/>
    <w:rsid w:val="000E2434"/>
    <w:rsid w:val="000E38BC"/>
    <w:rsid w:val="000E7AFF"/>
    <w:rsid w:val="000F52A7"/>
    <w:rsid w:val="00100F35"/>
    <w:rsid w:val="001020DE"/>
    <w:rsid w:val="001069F8"/>
    <w:rsid w:val="001128B1"/>
    <w:rsid w:val="001129BE"/>
    <w:rsid w:val="0011495F"/>
    <w:rsid w:val="00123065"/>
    <w:rsid w:val="00134520"/>
    <w:rsid w:val="001472C1"/>
    <w:rsid w:val="00147E8B"/>
    <w:rsid w:val="00151E68"/>
    <w:rsid w:val="00152C36"/>
    <w:rsid w:val="0015661E"/>
    <w:rsid w:val="0016655F"/>
    <w:rsid w:val="00170AB6"/>
    <w:rsid w:val="00176399"/>
    <w:rsid w:val="001764DE"/>
    <w:rsid w:val="00180890"/>
    <w:rsid w:val="00181E74"/>
    <w:rsid w:val="0018492C"/>
    <w:rsid w:val="00193815"/>
    <w:rsid w:val="001A57DB"/>
    <w:rsid w:val="001B250C"/>
    <w:rsid w:val="001B325F"/>
    <w:rsid w:val="001B4AAE"/>
    <w:rsid w:val="001B5497"/>
    <w:rsid w:val="001B70AD"/>
    <w:rsid w:val="001D6413"/>
    <w:rsid w:val="001E1C35"/>
    <w:rsid w:val="001E2AB8"/>
    <w:rsid w:val="001E310C"/>
    <w:rsid w:val="001E7842"/>
    <w:rsid w:val="001F3948"/>
    <w:rsid w:val="001F62AF"/>
    <w:rsid w:val="00200C45"/>
    <w:rsid w:val="002138B4"/>
    <w:rsid w:val="00220048"/>
    <w:rsid w:val="00225665"/>
    <w:rsid w:val="00227DBA"/>
    <w:rsid w:val="00236941"/>
    <w:rsid w:val="00264D3D"/>
    <w:rsid w:val="002660EF"/>
    <w:rsid w:val="00274973"/>
    <w:rsid w:val="0027594E"/>
    <w:rsid w:val="002813C5"/>
    <w:rsid w:val="00284B72"/>
    <w:rsid w:val="00293266"/>
    <w:rsid w:val="002970C8"/>
    <w:rsid w:val="002A0998"/>
    <w:rsid w:val="002A0D8D"/>
    <w:rsid w:val="002B2DB3"/>
    <w:rsid w:val="002B63D3"/>
    <w:rsid w:val="002C1A63"/>
    <w:rsid w:val="002C4C92"/>
    <w:rsid w:val="002C5F72"/>
    <w:rsid w:val="002C6584"/>
    <w:rsid w:val="002C72F3"/>
    <w:rsid w:val="002D296E"/>
    <w:rsid w:val="002D70B3"/>
    <w:rsid w:val="002E2DF6"/>
    <w:rsid w:val="002F364E"/>
    <w:rsid w:val="00302044"/>
    <w:rsid w:val="0030658C"/>
    <w:rsid w:val="00310C77"/>
    <w:rsid w:val="00312492"/>
    <w:rsid w:val="00316F06"/>
    <w:rsid w:val="00325C2B"/>
    <w:rsid w:val="00326EC8"/>
    <w:rsid w:val="003406C0"/>
    <w:rsid w:val="003433B6"/>
    <w:rsid w:val="0035538D"/>
    <w:rsid w:val="00361C32"/>
    <w:rsid w:val="00364CB8"/>
    <w:rsid w:val="0036783C"/>
    <w:rsid w:val="0037219D"/>
    <w:rsid w:val="00372CE2"/>
    <w:rsid w:val="00375433"/>
    <w:rsid w:val="00377FCE"/>
    <w:rsid w:val="00383772"/>
    <w:rsid w:val="00392BF9"/>
    <w:rsid w:val="00395BFA"/>
    <w:rsid w:val="003969C3"/>
    <w:rsid w:val="003A12D5"/>
    <w:rsid w:val="003A33C9"/>
    <w:rsid w:val="003A558A"/>
    <w:rsid w:val="003B532B"/>
    <w:rsid w:val="003B5A35"/>
    <w:rsid w:val="003B6444"/>
    <w:rsid w:val="003C1446"/>
    <w:rsid w:val="003C180F"/>
    <w:rsid w:val="003C196C"/>
    <w:rsid w:val="003C4E93"/>
    <w:rsid w:val="003C756C"/>
    <w:rsid w:val="003C7F7C"/>
    <w:rsid w:val="003D2F1A"/>
    <w:rsid w:val="003E1356"/>
    <w:rsid w:val="003E62CD"/>
    <w:rsid w:val="003F0D8B"/>
    <w:rsid w:val="0040075F"/>
    <w:rsid w:val="00416013"/>
    <w:rsid w:val="004164BC"/>
    <w:rsid w:val="00416BD8"/>
    <w:rsid w:val="00421860"/>
    <w:rsid w:val="00426DDA"/>
    <w:rsid w:val="00426EF2"/>
    <w:rsid w:val="0044151B"/>
    <w:rsid w:val="004434E4"/>
    <w:rsid w:val="0044692B"/>
    <w:rsid w:val="00455B5B"/>
    <w:rsid w:val="00457B76"/>
    <w:rsid w:val="00464F38"/>
    <w:rsid w:val="00466DE3"/>
    <w:rsid w:val="00470238"/>
    <w:rsid w:val="00474182"/>
    <w:rsid w:val="00474A56"/>
    <w:rsid w:val="00477447"/>
    <w:rsid w:val="004815A4"/>
    <w:rsid w:val="00481F8A"/>
    <w:rsid w:val="0049076C"/>
    <w:rsid w:val="00495629"/>
    <w:rsid w:val="004A7EFE"/>
    <w:rsid w:val="004B27CF"/>
    <w:rsid w:val="004C4F71"/>
    <w:rsid w:val="004D3180"/>
    <w:rsid w:val="004D3E31"/>
    <w:rsid w:val="004D7062"/>
    <w:rsid w:val="004E1B30"/>
    <w:rsid w:val="004E2305"/>
    <w:rsid w:val="004E338E"/>
    <w:rsid w:val="004E6AFB"/>
    <w:rsid w:val="004F22F4"/>
    <w:rsid w:val="004F2989"/>
    <w:rsid w:val="004F76B5"/>
    <w:rsid w:val="0050239D"/>
    <w:rsid w:val="00507FCA"/>
    <w:rsid w:val="005111C1"/>
    <w:rsid w:val="00511867"/>
    <w:rsid w:val="0052360F"/>
    <w:rsid w:val="00523D1F"/>
    <w:rsid w:val="00535AC0"/>
    <w:rsid w:val="00541913"/>
    <w:rsid w:val="00552B9D"/>
    <w:rsid w:val="005573C7"/>
    <w:rsid w:val="00560C65"/>
    <w:rsid w:val="00562463"/>
    <w:rsid w:val="00562CBC"/>
    <w:rsid w:val="0057187C"/>
    <w:rsid w:val="00571935"/>
    <w:rsid w:val="00574349"/>
    <w:rsid w:val="0058062E"/>
    <w:rsid w:val="00583EA6"/>
    <w:rsid w:val="005878DF"/>
    <w:rsid w:val="00591919"/>
    <w:rsid w:val="00593FAE"/>
    <w:rsid w:val="00595693"/>
    <w:rsid w:val="00596F90"/>
    <w:rsid w:val="005B10B7"/>
    <w:rsid w:val="005B4084"/>
    <w:rsid w:val="005B51B4"/>
    <w:rsid w:val="005B649A"/>
    <w:rsid w:val="005C2463"/>
    <w:rsid w:val="005C2C4F"/>
    <w:rsid w:val="005C4185"/>
    <w:rsid w:val="005C5347"/>
    <w:rsid w:val="005D26EC"/>
    <w:rsid w:val="005F0CDF"/>
    <w:rsid w:val="005F4919"/>
    <w:rsid w:val="005F6A16"/>
    <w:rsid w:val="006010DB"/>
    <w:rsid w:val="006163B3"/>
    <w:rsid w:val="00622D12"/>
    <w:rsid w:val="00625C5F"/>
    <w:rsid w:val="006264C9"/>
    <w:rsid w:val="006327E2"/>
    <w:rsid w:val="00644802"/>
    <w:rsid w:val="00647303"/>
    <w:rsid w:val="00656F73"/>
    <w:rsid w:val="00661E86"/>
    <w:rsid w:val="00664FF9"/>
    <w:rsid w:val="00666197"/>
    <w:rsid w:val="006863B8"/>
    <w:rsid w:val="00692D61"/>
    <w:rsid w:val="00693AA0"/>
    <w:rsid w:val="00694DA3"/>
    <w:rsid w:val="00695943"/>
    <w:rsid w:val="006A1D28"/>
    <w:rsid w:val="006A5E03"/>
    <w:rsid w:val="006A6085"/>
    <w:rsid w:val="006B3F46"/>
    <w:rsid w:val="006B6DEB"/>
    <w:rsid w:val="006C0578"/>
    <w:rsid w:val="006C43D2"/>
    <w:rsid w:val="006C474B"/>
    <w:rsid w:val="006C61D8"/>
    <w:rsid w:val="006D6611"/>
    <w:rsid w:val="006D674F"/>
    <w:rsid w:val="006D6B34"/>
    <w:rsid w:val="006D6D89"/>
    <w:rsid w:val="006E1687"/>
    <w:rsid w:val="006E2933"/>
    <w:rsid w:val="006E529E"/>
    <w:rsid w:val="006E651D"/>
    <w:rsid w:val="006E68A2"/>
    <w:rsid w:val="006F6441"/>
    <w:rsid w:val="00717690"/>
    <w:rsid w:val="00720EBB"/>
    <w:rsid w:val="0072136C"/>
    <w:rsid w:val="007240A7"/>
    <w:rsid w:val="00725CE8"/>
    <w:rsid w:val="00730998"/>
    <w:rsid w:val="007351C3"/>
    <w:rsid w:val="00741C00"/>
    <w:rsid w:val="00742E60"/>
    <w:rsid w:val="0074410E"/>
    <w:rsid w:val="00751C6C"/>
    <w:rsid w:val="00753FC7"/>
    <w:rsid w:val="007562A0"/>
    <w:rsid w:val="00760D03"/>
    <w:rsid w:val="00763CC6"/>
    <w:rsid w:val="0077139A"/>
    <w:rsid w:val="00774A03"/>
    <w:rsid w:val="00774F52"/>
    <w:rsid w:val="0077687B"/>
    <w:rsid w:val="00780532"/>
    <w:rsid w:val="007825AC"/>
    <w:rsid w:val="00793A37"/>
    <w:rsid w:val="007B374F"/>
    <w:rsid w:val="007D4FFC"/>
    <w:rsid w:val="007E0D61"/>
    <w:rsid w:val="007E22AD"/>
    <w:rsid w:val="007E34E3"/>
    <w:rsid w:val="007E772E"/>
    <w:rsid w:val="007F08EB"/>
    <w:rsid w:val="007F77DC"/>
    <w:rsid w:val="00807F12"/>
    <w:rsid w:val="00811531"/>
    <w:rsid w:val="00813C9C"/>
    <w:rsid w:val="00820AE2"/>
    <w:rsid w:val="00826A4E"/>
    <w:rsid w:val="00832260"/>
    <w:rsid w:val="00832D31"/>
    <w:rsid w:val="008339DA"/>
    <w:rsid w:val="00835B95"/>
    <w:rsid w:val="008418F3"/>
    <w:rsid w:val="00842AD0"/>
    <w:rsid w:val="00863D06"/>
    <w:rsid w:val="00864DAB"/>
    <w:rsid w:val="00874348"/>
    <w:rsid w:val="008752E4"/>
    <w:rsid w:val="0088351F"/>
    <w:rsid w:val="00890CCE"/>
    <w:rsid w:val="00894A4B"/>
    <w:rsid w:val="008A0B3D"/>
    <w:rsid w:val="008A37CA"/>
    <w:rsid w:val="008A3A2C"/>
    <w:rsid w:val="008A3C40"/>
    <w:rsid w:val="008A6827"/>
    <w:rsid w:val="008B6C4F"/>
    <w:rsid w:val="008C38DD"/>
    <w:rsid w:val="008D13AB"/>
    <w:rsid w:val="008E066A"/>
    <w:rsid w:val="008E5DE9"/>
    <w:rsid w:val="008E6650"/>
    <w:rsid w:val="008F6BCF"/>
    <w:rsid w:val="009028C2"/>
    <w:rsid w:val="009043C8"/>
    <w:rsid w:val="00925E07"/>
    <w:rsid w:val="0092605D"/>
    <w:rsid w:val="0093406F"/>
    <w:rsid w:val="0093638A"/>
    <w:rsid w:val="00946828"/>
    <w:rsid w:val="00953D3D"/>
    <w:rsid w:val="009559AF"/>
    <w:rsid w:val="009579B9"/>
    <w:rsid w:val="009677DD"/>
    <w:rsid w:val="00967DB5"/>
    <w:rsid w:val="0097141A"/>
    <w:rsid w:val="00977B1D"/>
    <w:rsid w:val="0098222C"/>
    <w:rsid w:val="00985319"/>
    <w:rsid w:val="00985514"/>
    <w:rsid w:val="00985580"/>
    <w:rsid w:val="009957AA"/>
    <w:rsid w:val="009A577B"/>
    <w:rsid w:val="009B0474"/>
    <w:rsid w:val="009C082D"/>
    <w:rsid w:val="009C38FA"/>
    <w:rsid w:val="009C39D7"/>
    <w:rsid w:val="009C5A0B"/>
    <w:rsid w:val="009C6D8A"/>
    <w:rsid w:val="009D16B9"/>
    <w:rsid w:val="009F1F7D"/>
    <w:rsid w:val="00A01DFB"/>
    <w:rsid w:val="00A029A5"/>
    <w:rsid w:val="00A04C4A"/>
    <w:rsid w:val="00A0752C"/>
    <w:rsid w:val="00A07EE4"/>
    <w:rsid w:val="00A13E64"/>
    <w:rsid w:val="00A1480E"/>
    <w:rsid w:val="00A236E7"/>
    <w:rsid w:val="00A34DBA"/>
    <w:rsid w:val="00A47998"/>
    <w:rsid w:val="00A53A12"/>
    <w:rsid w:val="00A54E78"/>
    <w:rsid w:val="00A55DB7"/>
    <w:rsid w:val="00A5795A"/>
    <w:rsid w:val="00A76FE9"/>
    <w:rsid w:val="00A8066E"/>
    <w:rsid w:val="00A81EA7"/>
    <w:rsid w:val="00A823D4"/>
    <w:rsid w:val="00A82B89"/>
    <w:rsid w:val="00A84546"/>
    <w:rsid w:val="00A872C3"/>
    <w:rsid w:val="00A94C74"/>
    <w:rsid w:val="00AA452D"/>
    <w:rsid w:val="00AC2168"/>
    <w:rsid w:val="00AC32D9"/>
    <w:rsid w:val="00AE59F6"/>
    <w:rsid w:val="00AF4250"/>
    <w:rsid w:val="00B019AF"/>
    <w:rsid w:val="00B05DBA"/>
    <w:rsid w:val="00B07D2B"/>
    <w:rsid w:val="00B116C6"/>
    <w:rsid w:val="00B25A88"/>
    <w:rsid w:val="00B324B8"/>
    <w:rsid w:val="00B42223"/>
    <w:rsid w:val="00B44113"/>
    <w:rsid w:val="00B52BE6"/>
    <w:rsid w:val="00B57519"/>
    <w:rsid w:val="00B60CDE"/>
    <w:rsid w:val="00B653CA"/>
    <w:rsid w:val="00B74E95"/>
    <w:rsid w:val="00B82E90"/>
    <w:rsid w:val="00B8720D"/>
    <w:rsid w:val="00B901C6"/>
    <w:rsid w:val="00B92107"/>
    <w:rsid w:val="00B94FF6"/>
    <w:rsid w:val="00BA2101"/>
    <w:rsid w:val="00BA560E"/>
    <w:rsid w:val="00BA578B"/>
    <w:rsid w:val="00BA5DAC"/>
    <w:rsid w:val="00BA79A4"/>
    <w:rsid w:val="00BB0CA2"/>
    <w:rsid w:val="00BB171C"/>
    <w:rsid w:val="00BB1B71"/>
    <w:rsid w:val="00BB3928"/>
    <w:rsid w:val="00BC2DD5"/>
    <w:rsid w:val="00BC4C7D"/>
    <w:rsid w:val="00BC7B41"/>
    <w:rsid w:val="00BD3706"/>
    <w:rsid w:val="00BE5505"/>
    <w:rsid w:val="00BE6B84"/>
    <w:rsid w:val="00BF2969"/>
    <w:rsid w:val="00C019F8"/>
    <w:rsid w:val="00C02F14"/>
    <w:rsid w:val="00C05BD4"/>
    <w:rsid w:val="00C17D60"/>
    <w:rsid w:val="00C20F90"/>
    <w:rsid w:val="00C2274A"/>
    <w:rsid w:val="00C241B8"/>
    <w:rsid w:val="00C246B1"/>
    <w:rsid w:val="00C2504D"/>
    <w:rsid w:val="00C2669B"/>
    <w:rsid w:val="00C30BEF"/>
    <w:rsid w:val="00C30D1B"/>
    <w:rsid w:val="00C32831"/>
    <w:rsid w:val="00C339E4"/>
    <w:rsid w:val="00C371CC"/>
    <w:rsid w:val="00C443E9"/>
    <w:rsid w:val="00C45D87"/>
    <w:rsid w:val="00C50578"/>
    <w:rsid w:val="00C52521"/>
    <w:rsid w:val="00C601C0"/>
    <w:rsid w:val="00C61A09"/>
    <w:rsid w:val="00C7750F"/>
    <w:rsid w:val="00C834D0"/>
    <w:rsid w:val="00C86566"/>
    <w:rsid w:val="00C8658E"/>
    <w:rsid w:val="00C86DA5"/>
    <w:rsid w:val="00C9652D"/>
    <w:rsid w:val="00CA1FA5"/>
    <w:rsid w:val="00CB5667"/>
    <w:rsid w:val="00CC487C"/>
    <w:rsid w:val="00CC69F1"/>
    <w:rsid w:val="00CD3E9E"/>
    <w:rsid w:val="00CD495C"/>
    <w:rsid w:val="00CD6940"/>
    <w:rsid w:val="00CE052E"/>
    <w:rsid w:val="00CE180B"/>
    <w:rsid w:val="00CE6027"/>
    <w:rsid w:val="00CE702E"/>
    <w:rsid w:val="00CE78E8"/>
    <w:rsid w:val="00CF452E"/>
    <w:rsid w:val="00CF51E7"/>
    <w:rsid w:val="00CF6219"/>
    <w:rsid w:val="00CF650C"/>
    <w:rsid w:val="00D02EC1"/>
    <w:rsid w:val="00D06596"/>
    <w:rsid w:val="00D10C8E"/>
    <w:rsid w:val="00D144E1"/>
    <w:rsid w:val="00D15A97"/>
    <w:rsid w:val="00D21135"/>
    <w:rsid w:val="00D235E4"/>
    <w:rsid w:val="00D26239"/>
    <w:rsid w:val="00D2633E"/>
    <w:rsid w:val="00D266EF"/>
    <w:rsid w:val="00D30797"/>
    <w:rsid w:val="00D41C96"/>
    <w:rsid w:val="00D47854"/>
    <w:rsid w:val="00D47A1E"/>
    <w:rsid w:val="00D50DD1"/>
    <w:rsid w:val="00D558A8"/>
    <w:rsid w:val="00D66299"/>
    <w:rsid w:val="00D73E03"/>
    <w:rsid w:val="00D82AD2"/>
    <w:rsid w:val="00D84EA5"/>
    <w:rsid w:val="00D9170F"/>
    <w:rsid w:val="00D930AD"/>
    <w:rsid w:val="00D945CF"/>
    <w:rsid w:val="00DA13F8"/>
    <w:rsid w:val="00DA3A9A"/>
    <w:rsid w:val="00DA436D"/>
    <w:rsid w:val="00DB50FB"/>
    <w:rsid w:val="00DB7129"/>
    <w:rsid w:val="00DC6579"/>
    <w:rsid w:val="00DC6827"/>
    <w:rsid w:val="00DD01C0"/>
    <w:rsid w:val="00DD4B0A"/>
    <w:rsid w:val="00DE5165"/>
    <w:rsid w:val="00DF042C"/>
    <w:rsid w:val="00DF3B58"/>
    <w:rsid w:val="00DF3BB3"/>
    <w:rsid w:val="00DF556F"/>
    <w:rsid w:val="00DF718B"/>
    <w:rsid w:val="00E0528D"/>
    <w:rsid w:val="00E11AE8"/>
    <w:rsid w:val="00E1350E"/>
    <w:rsid w:val="00E15781"/>
    <w:rsid w:val="00E17781"/>
    <w:rsid w:val="00E178E5"/>
    <w:rsid w:val="00E256F4"/>
    <w:rsid w:val="00E316EB"/>
    <w:rsid w:val="00E403E2"/>
    <w:rsid w:val="00E415CE"/>
    <w:rsid w:val="00E44606"/>
    <w:rsid w:val="00E44D41"/>
    <w:rsid w:val="00E462AB"/>
    <w:rsid w:val="00E46355"/>
    <w:rsid w:val="00E4681F"/>
    <w:rsid w:val="00E527EE"/>
    <w:rsid w:val="00E534D0"/>
    <w:rsid w:val="00E5380B"/>
    <w:rsid w:val="00E64C6A"/>
    <w:rsid w:val="00E64FC8"/>
    <w:rsid w:val="00E662B7"/>
    <w:rsid w:val="00E67DF2"/>
    <w:rsid w:val="00E72E03"/>
    <w:rsid w:val="00E820D6"/>
    <w:rsid w:val="00E860A7"/>
    <w:rsid w:val="00E86AE1"/>
    <w:rsid w:val="00E877CF"/>
    <w:rsid w:val="00E902C3"/>
    <w:rsid w:val="00EB3CDA"/>
    <w:rsid w:val="00EB7CB1"/>
    <w:rsid w:val="00EC7C4D"/>
    <w:rsid w:val="00ED4D6E"/>
    <w:rsid w:val="00EE3017"/>
    <w:rsid w:val="00EE7E9D"/>
    <w:rsid w:val="00EF6EC0"/>
    <w:rsid w:val="00F00EA6"/>
    <w:rsid w:val="00F058FF"/>
    <w:rsid w:val="00F05A28"/>
    <w:rsid w:val="00F10EB4"/>
    <w:rsid w:val="00F17910"/>
    <w:rsid w:val="00F27EC4"/>
    <w:rsid w:val="00F3330B"/>
    <w:rsid w:val="00F3465F"/>
    <w:rsid w:val="00F4005F"/>
    <w:rsid w:val="00F45F92"/>
    <w:rsid w:val="00F640BF"/>
    <w:rsid w:val="00F70FA5"/>
    <w:rsid w:val="00F71DA2"/>
    <w:rsid w:val="00F720ED"/>
    <w:rsid w:val="00F84691"/>
    <w:rsid w:val="00F90944"/>
    <w:rsid w:val="00F97C8A"/>
    <w:rsid w:val="00FA1523"/>
    <w:rsid w:val="00FA4555"/>
    <w:rsid w:val="00FB18E7"/>
    <w:rsid w:val="00FB235C"/>
    <w:rsid w:val="00FB44EA"/>
    <w:rsid w:val="00FB5E09"/>
    <w:rsid w:val="00FC1232"/>
    <w:rsid w:val="00FC5E2A"/>
    <w:rsid w:val="00FC6365"/>
    <w:rsid w:val="00FD3E0F"/>
    <w:rsid w:val="00FD515F"/>
    <w:rsid w:val="00FE4D45"/>
    <w:rsid w:val="00FE4E65"/>
    <w:rsid w:val="00FF46E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70AB6"/>
    <w:pPr>
      <w:tabs>
        <w:tab w:val="left" w:pos="9356"/>
      </w:tabs>
      <w:ind w:left="426" w:right="4"/>
      <w:jc w:val="both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right="43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2C4C92"/>
    <w:pPr>
      <w:numPr>
        <w:numId w:val="1"/>
      </w:numPr>
      <w:spacing w:before="120" w:after="120"/>
      <w:ind w:hanging="502"/>
      <w:jc w:val="both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customStyle="1" w:styleId="Paragrafneslovan">
    <w:name w:val="Paragraf nečíslovaný"/>
    <w:basedOn w:val="Normln"/>
    <w:autoRedefine/>
    <w:rsid w:val="001E2AB8"/>
    <w:pPr>
      <w:ind w:left="360"/>
      <w:jc w:val="both"/>
    </w:pPr>
    <w:rPr>
      <w:szCs w:val="20"/>
    </w:rPr>
  </w:style>
  <w:style w:type="paragraph" w:styleId="Zkladntext">
    <w:name w:val="Body Text"/>
    <w:basedOn w:val="Normln"/>
    <w:pPr>
      <w:suppressAutoHyphens/>
      <w:jc w:val="both"/>
    </w:pPr>
    <w:rPr>
      <w:rFonts w:ascii="Garamond" w:hAnsi="Garamond"/>
      <w:szCs w:val="20"/>
    </w:rPr>
  </w:style>
  <w:style w:type="paragraph" w:styleId="Normlnodsazen">
    <w:name w:val="Normal Indent"/>
    <w:basedOn w:val="Normln"/>
    <w:pPr>
      <w:ind w:left="397"/>
    </w:pPr>
  </w:style>
  <w:style w:type="paragraph" w:styleId="Zkladntextodsazen">
    <w:name w:val="Body Text Indent"/>
    <w:basedOn w:val="Normln"/>
    <w:pPr>
      <w:ind w:left="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BB0CA2"/>
    <w:rPr>
      <w:b/>
      <w:bCs/>
    </w:rPr>
  </w:style>
  <w:style w:type="character" w:styleId="Zvraznn">
    <w:name w:val="Emphasis"/>
    <w:basedOn w:val="Standardnpsmoodstavce"/>
    <w:qFormat/>
    <w:rsid w:val="00BB0CA2"/>
    <w:rPr>
      <w:i/>
      <w:iCs/>
    </w:rPr>
  </w:style>
  <w:style w:type="paragraph" w:styleId="Normlnweb">
    <w:name w:val="Normal (Web)"/>
    <w:basedOn w:val="Normln"/>
    <w:uiPriority w:val="99"/>
    <w:rsid w:val="0023694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5C2C4F"/>
    <w:rPr>
      <w:color w:val="0000FF"/>
      <w:u w:val="single"/>
    </w:rPr>
  </w:style>
  <w:style w:type="paragraph" w:styleId="Textbubliny">
    <w:name w:val="Balloon Text"/>
    <w:basedOn w:val="Normln"/>
    <w:semiHidden/>
    <w:rsid w:val="003B5A3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E24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Znormln">
    <w:name w:val="VZ normální"/>
    <w:basedOn w:val="Normln"/>
    <w:rsid w:val="00B901C6"/>
    <w:pPr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autoRedefine/>
    <w:rsid w:val="00170AB6"/>
    <w:pPr>
      <w:tabs>
        <w:tab w:val="left" w:pos="9356"/>
      </w:tabs>
      <w:ind w:left="426" w:right="4"/>
      <w:jc w:val="both"/>
    </w:pPr>
  </w:style>
  <w:style w:type="paragraph" w:customStyle="1" w:styleId="nadpcent">
    <w:name w:val="nadpcent"/>
    <w:basedOn w:val="Normln"/>
    <w:next w:val="vlevo"/>
    <w:autoRedefine/>
    <w:pPr>
      <w:spacing w:before="600" w:after="480"/>
      <w:ind w:right="43"/>
      <w:jc w:val="center"/>
    </w:pPr>
    <w:rPr>
      <w:b/>
      <w:caps/>
      <w:spacing w:val="22"/>
      <w:szCs w:val="20"/>
      <w:lang w:val="en-AU"/>
    </w:rPr>
  </w:style>
  <w:style w:type="paragraph" w:customStyle="1" w:styleId="ostzahl">
    <w:name w:val="ostzahl"/>
    <w:basedOn w:val="Normln"/>
    <w:next w:val="vlevo"/>
    <w:autoRedefine/>
    <w:rsid w:val="002C4C92"/>
    <w:pPr>
      <w:numPr>
        <w:numId w:val="1"/>
      </w:numPr>
      <w:spacing w:before="120" w:after="120"/>
      <w:ind w:hanging="502"/>
      <w:jc w:val="both"/>
    </w:pPr>
    <w:rPr>
      <w:b/>
      <w:spacing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ind w:firstLine="720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customStyle="1" w:styleId="Paragrafneslovan">
    <w:name w:val="Paragraf nečíslovaný"/>
    <w:basedOn w:val="Normln"/>
    <w:autoRedefine/>
    <w:rsid w:val="001E2AB8"/>
    <w:pPr>
      <w:ind w:left="360"/>
      <w:jc w:val="both"/>
    </w:pPr>
    <w:rPr>
      <w:szCs w:val="20"/>
    </w:rPr>
  </w:style>
  <w:style w:type="paragraph" w:styleId="Zkladntext">
    <w:name w:val="Body Text"/>
    <w:basedOn w:val="Normln"/>
    <w:pPr>
      <w:suppressAutoHyphens/>
      <w:jc w:val="both"/>
    </w:pPr>
    <w:rPr>
      <w:rFonts w:ascii="Garamond" w:hAnsi="Garamond"/>
      <w:szCs w:val="20"/>
    </w:rPr>
  </w:style>
  <w:style w:type="paragraph" w:styleId="Normlnodsazen">
    <w:name w:val="Normal Indent"/>
    <w:basedOn w:val="Normln"/>
    <w:pPr>
      <w:ind w:left="397"/>
    </w:pPr>
  </w:style>
  <w:style w:type="paragraph" w:styleId="Zkladntextodsazen">
    <w:name w:val="Body Text Indent"/>
    <w:basedOn w:val="Normln"/>
    <w:pPr>
      <w:ind w:left="67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BB0CA2"/>
    <w:rPr>
      <w:b/>
      <w:bCs/>
    </w:rPr>
  </w:style>
  <w:style w:type="character" w:styleId="Zvraznn">
    <w:name w:val="Emphasis"/>
    <w:basedOn w:val="Standardnpsmoodstavce"/>
    <w:qFormat/>
    <w:rsid w:val="00BB0CA2"/>
    <w:rPr>
      <w:i/>
      <w:iCs/>
    </w:rPr>
  </w:style>
  <w:style w:type="paragraph" w:styleId="Normlnweb">
    <w:name w:val="Normal (Web)"/>
    <w:basedOn w:val="Normln"/>
    <w:uiPriority w:val="99"/>
    <w:rsid w:val="0023694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5C2C4F"/>
    <w:rPr>
      <w:color w:val="0000FF"/>
      <w:u w:val="single"/>
    </w:rPr>
  </w:style>
  <w:style w:type="paragraph" w:styleId="Textbubliny">
    <w:name w:val="Balloon Text"/>
    <w:basedOn w:val="Normln"/>
    <w:semiHidden/>
    <w:rsid w:val="003B5A3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E24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Znormln">
    <w:name w:val="VZ normální"/>
    <w:basedOn w:val="Normln"/>
    <w:rsid w:val="00B901C6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kulova\Data%20aplikac&#237;\Microsoft\&#352;ablony\D&#367;vodov&#225;%20zpr&#225;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CCBD-A24B-4575-B543-331906A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zpráva.dot</Template>
  <TotalTime>186</TotalTime>
  <Pages>3</Pages>
  <Words>1252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SIT</Company>
  <LinksUpToDate>false</LinksUpToDate>
  <CharactersWithSpaces>8266</CharactersWithSpaces>
  <SharedDoc>false</SharedDoc>
  <HLinks>
    <vt:vector size="6" baseType="variant"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http://www.plzen.eu/zivot-v-plzni/verejne-dokumenty/koncepcni-dokumenty/clanky-8/program-rozvoje-kultury-ve-meste-plzni-na-leta-2009-2019.aspx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Markéta Sinkulová</dc:creator>
  <cp:lastModifiedBy>Zvěřinová Kateřina</cp:lastModifiedBy>
  <cp:revision>18</cp:revision>
  <cp:lastPrinted>2012-10-04T05:46:00Z</cp:lastPrinted>
  <dcterms:created xsi:type="dcterms:W3CDTF">2012-09-13T12:08:00Z</dcterms:created>
  <dcterms:modified xsi:type="dcterms:W3CDTF">2012-10-04T07:44:00Z</dcterms:modified>
</cp:coreProperties>
</file>