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B6" w:rsidRDefault="002152B6" w:rsidP="002152B6">
      <w:pPr>
        <w:pStyle w:val="nadpcent"/>
      </w:pPr>
      <w:r>
        <w:t>Důvodová zpráva</w:t>
      </w:r>
    </w:p>
    <w:p w:rsidR="002152B6" w:rsidRDefault="002152B6" w:rsidP="002152B6">
      <w:pPr>
        <w:pStyle w:val="ostzahl"/>
        <w:rPr>
          <w:lang w:val="en-AU"/>
        </w:rPr>
      </w:pPr>
      <w:r>
        <w:rPr>
          <w:lang w:val="en-AU"/>
        </w:rPr>
        <w:t>Název problému a jeho charakteristika</w:t>
      </w:r>
    </w:p>
    <w:p w:rsidR="002152B6" w:rsidRDefault="002152B6" w:rsidP="002152B6">
      <w:pPr>
        <w:pStyle w:val="vlevo"/>
      </w:pPr>
      <w:r>
        <w:tab/>
        <w:t>Majetkoprávní vypořádání pozemků mezi městem Plzeň a Plzeňským krajem, a to formou vzájemných budoucích darů, v souvislosti se stavbou „BRUČNÁ BUSINESS PARK“, kterou bude provádět společnost VGP CZ VIII., a.s. (dále jen VGP).</w:t>
      </w:r>
    </w:p>
    <w:p w:rsidR="002152B6" w:rsidRDefault="002152B6" w:rsidP="002152B6">
      <w:pPr>
        <w:pStyle w:val="vlevo"/>
        <w:rPr>
          <w:lang w:val="en-AU"/>
        </w:rPr>
      </w:pPr>
    </w:p>
    <w:p w:rsidR="002152B6" w:rsidRDefault="002152B6" w:rsidP="002152B6">
      <w:pPr>
        <w:pStyle w:val="ostzahl"/>
        <w:rPr>
          <w:lang w:val="en-AU"/>
        </w:rPr>
      </w:pPr>
      <w:r>
        <w:rPr>
          <w:lang w:val="en-AU"/>
        </w:rPr>
        <w:t>Konstatování současného stavu a jeho analýza</w:t>
      </w:r>
    </w:p>
    <w:p w:rsidR="002152B6" w:rsidRPr="00EF4C8A" w:rsidRDefault="002152B6" w:rsidP="002152B6">
      <w:pPr>
        <w:tabs>
          <w:tab w:val="left" w:pos="284"/>
        </w:tabs>
        <w:rPr>
          <w:szCs w:val="24"/>
          <w:lang w:eastAsia="en-US" w:bidi="en-US"/>
        </w:rPr>
      </w:pPr>
      <w:r w:rsidRPr="00EF4C8A">
        <w:rPr>
          <w:szCs w:val="24"/>
          <w:lang w:eastAsia="en-US" w:bidi="en-US"/>
        </w:rPr>
        <w:t xml:space="preserve">Společnost VGP CZ VIII., s.r.o., Jenišovice 59, 468 33 Jenišovice u Jablonce nad Nisou, IČ: 274 31 452 bude realizovat svůj podnikatelský záměr v lokalitě Bručná, a to logistický areál „BRUČNÁ BUSINESS PARK“. Za tímto účelem bude společností vybudována i příslušná technická infrastruktura. </w:t>
      </w:r>
    </w:p>
    <w:p w:rsidR="002152B6" w:rsidRPr="00EF4C8A" w:rsidRDefault="002152B6" w:rsidP="002152B6">
      <w:pPr>
        <w:tabs>
          <w:tab w:val="left" w:pos="284"/>
        </w:tabs>
        <w:rPr>
          <w:szCs w:val="24"/>
          <w:lang w:eastAsia="en-US" w:bidi="en-US"/>
        </w:rPr>
      </w:pPr>
      <w:r w:rsidRPr="00EF4C8A">
        <w:rPr>
          <w:szCs w:val="24"/>
          <w:lang w:eastAsia="en-US" w:bidi="en-US"/>
        </w:rPr>
        <w:tab/>
        <w:t xml:space="preserve">Majetkoprávní vypořádání technické infrastruktury vybudované společností VGP, která bude přecházet do majetku města Plzně a rovněž do majetku Plzeňského kraje, bude řešena samostatnými smluvními vztahy. Předmětem tohoto materiálu je pouze majetkoprávní vypořádání pozemků mezi městem Plzeň a Plzeňským krajem, které budou zasaženy TI. </w:t>
      </w:r>
    </w:p>
    <w:p w:rsidR="002152B6" w:rsidRPr="00EF4C8A" w:rsidRDefault="002152B6" w:rsidP="002152B6">
      <w:pPr>
        <w:tabs>
          <w:tab w:val="left" w:pos="284"/>
        </w:tabs>
        <w:rPr>
          <w:szCs w:val="24"/>
          <w:lang w:eastAsia="en-US" w:bidi="en-US"/>
        </w:rPr>
      </w:pPr>
      <w:r w:rsidRPr="00EF4C8A">
        <w:rPr>
          <w:szCs w:val="24"/>
          <w:lang w:eastAsia="en-US" w:bidi="en-US"/>
        </w:rPr>
        <w:tab/>
        <w:t>Majetkoprávní vypořádání nemovitostí mezi Plzeňským krajem a Statutárním městem Plzní bude realizováno formou dvou darovacích smluv, neboť dle ustanovení § 20 odst. 1 písm. b) zákona č. 357/1992 Sb., o dani dědické, dani darovací a dani z převodu nemovitostí, v platném znění, je bezúplatné nabytí majetku územními samosprávnými celky osvobozeno od daně darovací.</w:t>
      </w:r>
    </w:p>
    <w:p w:rsidR="002152B6" w:rsidRPr="00EF4C8A" w:rsidRDefault="002152B6" w:rsidP="002152B6">
      <w:pPr>
        <w:tabs>
          <w:tab w:val="left" w:pos="284"/>
        </w:tabs>
        <w:rPr>
          <w:szCs w:val="24"/>
          <w:lang w:eastAsia="en-US" w:bidi="en-US"/>
        </w:rPr>
      </w:pPr>
      <w:r w:rsidRPr="00EF4C8A">
        <w:rPr>
          <w:szCs w:val="24"/>
          <w:lang w:eastAsia="en-US" w:bidi="en-US"/>
        </w:rPr>
        <w:tab/>
        <w:t>Město Plzeň bude darovat Plzeňskému kraji pozemky o výměře 1 564 m</w:t>
      </w:r>
      <w:r w:rsidRPr="00EF4C8A">
        <w:rPr>
          <w:szCs w:val="24"/>
          <w:vertAlign w:val="superscript"/>
          <w:lang w:eastAsia="en-US" w:bidi="en-US"/>
        </w:rPr>
        <w:t>2</w:t>
      </w:r>
      <w:r w:rsidRPr="00EF4C8A">
        <w:rPr>
          <w:szCs w:val="24"/>
          <w:lang w:eastAsia="en-US" w:bidi="en-US"/>
        </w:rPr>
        <w:t>, Plzeňský kraj bude darovat městu pozemky o výměře 55 m</w:t>
      </w:r>
      <w:r w:rsidRPr="00EF4C8A">
        <w:rPr>
          <w:szCs w:val="24"/>
          <w:vertAlign w:val="superscript"/>
          <w:lang w:eastAsia="en-US" w:bidi="en-US"/>
        </w:rPr>
        <w:t>2</w:t>
      </w:r>
      <w:r w:rsidRPr="00EF4C8A">
        <w:rPr>
          <w:szCs w:val="24"/>
          <w:lang w:eastAsia="en-US" w:bidi="en-US"/>
        </w:rPr>
        <w:t>.</w:t>
      </w:r>
    </w:p>
    <w:p w:rsidR="002152B6" w:rsidRPr="00EF4C8A" w:rsidRDefault="002152B6" w:rsidP="002152B6">
      <w:pPr>
        <w:rPr>
          <w:szCs w:val="24"/>
          <w:lang w:eastAsia="en-US" w:bidi="en-US"/>
        </w:rPr>
      </w:pPr>
      <w:r w:rsidRPr="00EF4C8A">
        <w:rPr>
          <w:szCs w:val="24"/>
          <w:lang w:eastAsia="en-US" w:bidi="en-US"/>
        </w:rPr>
        <w:t>Jedná se:</w:t>
      </w:r>
    </w:p>
    <w:p w:rsidR="002152B6" w:rsidRPr="00EF4C8A" w:rsidRDefault="002152B6" w:rsidP="002152B6">
      <w:pPr>
        <w:numPr>
          <w:ilvl w:val="0"/>
          <w:numId w:val="4"/>
        </w:numPr>
        <w:rPr>
          <w:szCs w:val="24"/>
          <w:lang w:eastAsia="en-US" w:bidi="en-US"/>
        </w:rPr>
      </w:pPr>
      <w:r>
        <w:rPr>
          <w:szCs w:val="24"/>
          <w:lang w:eastAsia="en-US" w:bidi="en-US"/>
        </w:rPr>
        <w:t>O převod do</w:t>
      </w:r>
      <w:r w:rsidRPr="00EF4C8A">
        <w:rPr>
          <w:szCs w:val="24"/>
          <w:lang w:eastAsia="en-US" w:bidi="en-US"/>
        </w:rPr>
        <w:t xml:space="preserve"> majetku města Plzně</w:t>
      </w:r>
      <w:r>
        <w:rPr>
          <w:szCs w:val="24"/>
          <w:lang w:eastAsia="en-US" w:bidi="en-US"/>
        </w:rPr>
        <w:t xml:space="preserve"> a to</w:t>
      </w:r>
      <w:r w:rsidRPr="00EF4C8A">
        <w:rPr>
          <w:szCs w:val="24"/>
          <w:lang w:eastAsia="en-US" w:bidi="en-US"/>
        </w:rPr>
        <w:t>:</w:t>
      </w:r>
    </w:p>
    <w:p w:rsidR="002152B6" w:rsidRPr="00EF4C8A" w:rsidRDefault="002152B6" w:rsidP="002152B6">
      <w:pPr>
        <w:numPr>
          <w:ilvl w:val="0"/>
          <w:numId w:val="2"/>
        </w:numPr>
        <w:rPr>
          <w:szCs w:val="24"/>
          <w:lang w:eastAsia="en-US" w:bidi="en-US"/>
        </w:rPr>
      </w:pPr>
      <w:r w:rsidRPr="00EF4C8A">
        <w:rPr>
          <w:szCs w:val="24"/>
          <w:lang w:eastAsia="en-US" w:bidi="en-US"/>
        </w:rPr>
        <w:t>část parc. č. 1935/28 o celkové výměře 1099 m</w:t>
      </w:r>
      <w:r w:rsidRPr="00EF4C8A">
        <w:rPr>
          <w:szCs w:val="24"/>
          <w:vertAlign w:val="superscript"/>
          <w:lang w:eastAsia="en-US" w:bidi="en-US"/>
        </w:rPr>
        <w:t>2</w:t>
      </w:r>
      <w:r w:rsidRPr="00EF4C8A">
        <w:rPr>
          <w:szCs w:val="24"/>
          <w:lang w:eastAsia="en-US" w:bidi="en-US"/>
        </w:rPr>
        <w:t>, ostatní plocha, silnice, k. ú. Bručná, cca 19 m</w:t>
      </w:r>
      <w:r w:rsidRPr="00EF4C8A">
        <w:rPr>
          <w:szCs w:val="24"/>
          <w:vertAlign w:val="superscript"/>
          <w:lang w:eastAsia="en-US" w:bidi="en-US"/>
        </w:rPr>
        <w:t>2</w:t>
      </w:r>
    </w:p>
    <w:p w:rsidR="002152B6" w:rsidRPr="00EF4C8A" w:rsidRDefault="002152B6" w:rsidP="002152B6">
      <w:pPr>
        <w:numPr>
          <w:ilvl w:val="0"/>
          <w:numId w:val="2"/>
        </w:numPr>
        <w:rPr>
          <w:szCs w:val="24"/>
          <w:lang w:eastAsia="en-US" w:bidi="en-US"/>
        </w:rPr>
      </w:pPr>
      <w:r w:rsidRPr="00EF4C8A">
        <w:rPr>
          <w:szCs w:val="24"/>
          <w:lang w:eastAsia="en-US" w:bidi="en-US"/>
        </w:rPr>
        <w:t>část parc. č. 1935/15 o celkové výměře 372 m</w:t>
      </w:r>
      <w:r w:rsidRPr="00EF4C8A">
        <w:rPr>
          <w:szCs w:val="24"/>
          <w:vertAlign w:val="superscript"/>
          <w:lang w:eastAsia="en-US" w:bidi="en-US"/>
        </w:rPr>
        <w:t>2</w:t>
      </w:r>
      <w:r w:rsidRPr="00EF4C8A">
        <w:rPr>
          <w:szCs w:val="24"/>
          <w:lang w:eastAsia="en-US" w:bidi="en-US"/>
        </w:rPr>
        <w:t>, ostatní plocha, ostatní komunikace, k. ú. Bručná, cca 36 m</w:t>
      </w:r>
      <w:r w:rsidRPr="00EF4C8A">
        <w:rPr>
          <w:szCs w:val="24"/>
          <w:vertAlign w:val="superscript"/>
          <w:lang w:eastAsia="en-US" w:bidi="en-US"/>
        </w:rPr>
        <w:t>2</w:t>
      </w:r>
    </w:p>
    <w:p w:rsidR="002152B6" w:rsidRPr="00EF4C8A" w:rsidRDefault="002152B6" w:rsidP="002152B6">
      <w:pPr>
        <w:tabs>
          <w:tab w:val="left" w:pos="-142"/>
          <w:tab w:val="left" w:pos="0"/>
          <w:tab w:val="left" w:pos="284"/>
        </w:tabs>
      </w:pPr>
      <w:r w:rsidRPr="00EF4C8A">
        <w:t>zaps. na LV č. 1239 v katastru nemovitostí vedeném Katastrálním úřadem pro Plzeňský kraj, Katastrální pracoviště Plzeň-město, pro obec Plzeň a k. ú. Bručná.</w:t>
      </w:r>
    </w:p>
    <w:p w:rsidR="002152B6" w:rsidRPr="00EF4C8A" w:rsidRDefault="002152B6" w:rsidP="002152B6">
      <w:pPr>
        <w:rPr>
          <w:szCs w:val="24"/>
          <w:lang w:eastAsia="en-US" w:bidi="en-US"/>
        </w:rPr>
      </w:pPr>
      <w:r w:rsidRPr="00EF4C8A">
        <w:rPr>
          <w:szCs w:val="24"/>
          <w:lang w:eastAsia="en-US" w:bidi="en-US"/>
        </w:rPr>
        <w:t>Na části pozemku parc. č. 1935/15 a na části parc. č. 1935/28 oba k. ú. Bručná, jež jsou předmětem převodu do majetku města Plzně, bude společností VGP vybudován chodník a terénní úpravy.</w:t>
      </w:r>
    </w:p>
    <w:p w:rsidR="002152B6" w:rsidRPr="00EF4C8A" w:rsidRDefault="002152B6" w:rsidP="002152B6">
      <w:pPr>
        <w:rPr>
          <w:szCs w:val="24"/>
          <w:lang w:eastAsia="en-US" w:bidi="en-US"/>
        </w:rPr>
      </w:pPr>
    </w:p>
    <w:p w:rsidR="002152B6" w:rsidRPr="00EF4C8A" w:rsidRDefault="002152B6" w:rsidP="002152B6">
      <w:pPr>
        <w:numPr>
          <w:ilvl w:val="0"/>
          <w:numId w:val="4"/>
        </w:numPr>
        <w:rPr>
          <w:szCs w:val="24"/>
          <w:lang w:eastAsia="en-US" w:bidi="en-US"/>
        </w:rPr>
      </w:pPr>
      <w:r>
        <w:rPr>
          <w:szCs w:val="24"/>
          <w:lang w:eastAsia="en-US" w:bidi="en-US"/>
        </w:rPr>
        <w:t xml:space="preserve">O převod </w:t>
      </w:r>
      <w:r w:rsidRPr="00EF4C8A">
        <w:rPr>
          <w:szCs w:val="24"/>
          <w:lang w:eastAsia="en-US" w:bidi="en-US"/>
        </w:rPr>
        <w:t>do majetku Plzeňského kraje</w:t>
      </w:r>
      <w:r>
        <w:rPr>
          <w:szCs w:val="24"/>
          <w:lang w:eastAsia="en-US" w:bidi="en-US"/>
        </w:rPr>
        <w:t xml:space="preserve"> a to</w:t>
      </w:r>
      <w:r w:rsidRPr="00EF4C8A">
        <w:rPr>
          <w:szCs w:val="24"/>
          <w:lang w:eastAsia="en-US" w:bidi="en-US"/>
        </w:rPr>
        <w:t>:</w:t>
      </w:r>
    </w:p>
    <w:p w:rsidR="002152B6" w:rsidRPr="00EF4C8A" w:rsidRDefault="002152B6" w:rsidP="002152B6">
      <w:pPr>
        <w:numPr>
          <w:ilvl w:val="0"/>
          <w:numId w:val="2"/>
        </w:numPr>
        <w:rPr>
          <w:szCs w:val="24"/>
          <w:lang w:eastAsia="en-US" w:bidi="en-US"/>
        </w:rPr>
      </w:pPr>
      <w:r w:rsidRPr="00EF4C8A">
        <w:rPr>
          <w:szCs w:val="24"/>
          <w:lang w:eastAsia="en-US" w:bidi="en-US"/>
        </w:rPr>
        <w:t>část parc. č. 1935/4 o celkové výměře 139 m</w:t>
      </w:r>
      <w:r w:rsidRPr="00EF4C8A">
        <w:rPr>
          <w:szCs w:val="24"/>
          <w:vertAlign w:val="superscript"/>
          <w:lang w:eastAsia="en-US" w:bidi="en-US"/>
        </w:rPr>
        <w:t>2</w:t>
      </w:r>
      <w:r w:rsidRPr="00EF4C8A">
        <w:rPr>
          <w:szCs w:val="24"/>
          <w:lang w:eastAsia="en-US" w:bidi="en-US"/>
        </w:rPr>
        <w:t>, ostatní plocha, ostatní komunikace, k. ú. Bručná, cca 129 m</w:t>
      </w:r>
      <w:r w:rsidRPr="00EF4C8A">
        <w:rPr>
          <w:szCs w:val="24"/>
          <w:vertAlign w:val="superscript"/>
          <w:lang w:eastAsia="en-US" w:bidi="en-US"/>
        </w:rPr>
        <w:t>2</w:t>
      </w:r>
    </w:p>
    <w:p w:rsidR="002152B6" w:rsidRPr="00EF4C8A" w:rsidRDefault="002152B6" w:rsidP="002152B6">
      <w:pPr>
        <w:numPr>
          <w:ilvl w:val="0"/>
          <w:numId w:val="2"/>
        </w:numPr>
        <w:rPr>
          <w:szCs w:val="24"/>
          <w:lang w:eastAsia="en-US" w:bidi="en-US"/>
        </w:rPr>
      </w:pPr>
      <w:r w:rsidRPr="00EF4C8A">
        <w:rPr>
          <w:szCs w:val="24"/>
          <w:lang w:eastAsia="en-US" w:bidi="en-US"/>
        </w:rPr>
        <w:t>část parc. č. 1935/5 o celkové výměře 945 m</w:t>
      </w:r>
      <w:r w:rsidRPr="00EF4C8A">
        <w:rPr>
          <w:szCs w:val="24"/>
          <w:vertAlign w:val="superscript"/>
          <w:lang w:eastAsia="en-US" w:bidi="en-US"/>
        </w:rPr>
        <w:t>2</w:t>
      </w:r>
      <w:r w:rsidRPr="00EF4C8A">
        <w:rPr>
          <w:szCs w:val="24"/>
          <w:lang w:eastAsia="en-US" w:bidi="en-US"/>
        </w:rPr>
        <w:t>, ostatní plocha, jiná plocha, k. ú. Bručná, cca 617 m</w:t>
      </w:r>
      <w:r w:rsidRPr="00EF4C8A">
        <w:rPr>
          <w:szCs w:val="24"/>
          <w:vertAlign w:val="superscript"/>
          <w:lang w:eastAsia="en-US" w:bidi="en-US"/>
        </w:rPr>
        <w:t>2</w:t>
      </w:r>
    </w:p>
    <w:p w:rsidR="002152B6" w:rsidRPr="00EF4C8A" w:rsidRDefault="002152B6" w:rsidP="002152B6">
      <w:pPr>
        <w:numPr>
          <w:ilvl w:val="0"/>
          <w:numId w:val="2"/>
        </w:numPr>
        <w:rPr>
          <w:szCs w:val="24"/>
          <w:lang w:eastAsia="en-US" w:bidi="en-US"/>
        </w:rPr>
      </w:pPr>
      <w:r w:rsidRPr="00EF4C8A">
        <w:rPr>
          <w:szCs w:val="24"/>
          <w:lang w:eastAsia="en-US" w:bidi="en-US"/>
        </w:rPr>
        <w:t>celá parc. č. 1935/8 o celkové výměře 170 m</w:t>
      </w:r>
      <w:r w:rsidRPr="00EF4C8A">
        <w:rPr>
          <w:szCs w:val="24"/>
          <w:vertAlign w:val="superscript"/>
          <w:lang w:eastAsia="en-US" w:bidi="en-US"/>
        </w:rPr>
        <w:t>2</w:t>
      </w:r>
      <w:r w:rsidRPr="00EF4C8A">
        <w:rPr>
          <w:szCs w:val="24"/>
          <w:lang w:eastAsia="en-US" w:bidi="en-US"/>
        </w:rPr>
        <w:t>, ostatní plocha, ostatní komunikace, k. ú. Bručná</w:t>
      </w:r>
    </w:p>
    <w:p w:rsidR="002152B6" w:rsidRPr="00EF4C8A" w:rsidRDefault="002152B6" w:rsidP="002152B6">
      <w:pPr>
        <w:numPr>
          <w:ilvl w:val="0"/>
          <w:numId w:val="2"/>
        </w:numPr>
        <w:rPr>
          <w:szCs w:val="24"/>
          <w:lang w:eastAsia="en-US" w:bidi="en-US"/>
        </w:rPr>
      </w:pPr>
      <w:r w:rsidRPr="00EF4C8A">
        <w:rPr>
          <w:szCs w:val="24"/>
          <w:lang w:eastAsia="en-US" w:bidi="en-US"/>
        </w:rPr>
        <w:t>část parc. č. 1935/10 o celkové výměře 66 m</w:t>
      </w:r>
      <w:r w:rsidRPr="00EF4C8A">
        <w:rPr>
          <w:szCs w:val="24"/>
          <w:vertAlign w:val="superscript"/>
          <w:lang w:eastAsia="en-US" w:bidi="en-US"/>
        </w:rPr>
        <w:t>2</w:t>
      </w:r>
      <w:r w:rsidRPr="00EF4C8A">
        <w:rPr>
          <w:szCs w:val="24"/>
          <w:lang w:eastAsia="en-US" w:bidi="en-US"/>
        </w:rPr>
        <w:t>, ostatní plocha, ostatní komunikace, k. ú. Bručná, cca 59 m</w:t>
      </w:r>
      <w:r w:rsidRPr="00EF4C8A">
        <w:rPr>
          <w:szCs w:val="24"/>
          <w:vertAlign w:val="superscript"/>
          <w:lang w:eastAsia="en-US" w:bidi="en-US"/>
        </w:rPr>
        <w:t>2</w:t>
      </w:r>
    </w:p>
    <w:p w:rsidR="002152B6" w:rsidRPr="00EF4C8A" w:rsidRDefault="002152B6" w:rsidP="002152B6">
      <w:pPr>
        <w:numPr>
          <w:ilvl w:val="0"/>
          <w:numId w:val="2"/>
        </w:numPr>
        <w:rPr>
          <w:szCs w:val="24"/>
          <w:lang w:eastAsia="en-US" w:bidi="en-US"/>
        </w:rPr>
      </w:pPr>
      <w:r w:rsidRPr="00EF4C8A">
        <w:rPr>
          <w:szCs w:val="24"/>
          <w:lang w:eastAsia="en-US" w:bidi="en-US"/>
        </w:rPr>
        <w:lastRenderedPageBreak/>
        <w:t>celá parc. č. 1935/11 o celkové výměře 13 m</w:t>
      </w:r>
      <w:r w:rsidRPr="00EF4C8A">
        <w:rPr>
          <w:szCs w:val="24"/>
          <w:vertAlign w:val="superscript"/>
          <w:lang w:eastAsia="en-US" w:bidi="en-US"/>
        </w:rPr>
        <w:t>2</w:t>
      </w:r>
      <w:r w:rsidRPr="00EF4C8A">
        <w:rPr>
          <w:szCs w:val="24"/>
          <w:lang w:eastAsia="en-US" w:bidi="en-US"/>
        </w:rPr>
        <w:t>, ostatní plocha, ostatní komunikace, k. ú. Bručná</w:t>
      </w:r>
    </w:p>
    <w:p w:rsidR="002152B6" w:rsidRPr="00EF4C8A" w:rsidRDefault="002152B6" w:rsidP="002152B6">
      <w:pPr>
        <w:numPr>
          <w:ilvl w:val="0"/>
          <w:numId w:val="2"/>
        </w:numPr>
        <w:rPr>
          <w:szCs w:val="24"/>
          <w:lang w:eastAsia="en-US" w:bidi="en-US"/>
        </w:rPr>
      </w:pPr>
      <w:r w:rsidRPr="00EF4C8A">
        <w:rPr>
          <w:szCs w:val="24"/>
          <w:lang w:eastAsia="en-US" w:bidi="en-US"/>
        </w:rPr>
        <w:t>část parc. č. 1935/18 o celkové výměře 146 m</w:t>
      </w:r>
      <w:r w:rsidRPr="00EF4C8A">
        <w:rPr>
          <w:szCs w:val="24"/>
          <w:vertAlign w:val="superscript"/>
          <w:lang w:eastAsia="en-US" w:bidi="en-US"/>
        </w:rPr>
        <w:t>2</w:t>
      </w:r>
      <w:r w:rsidRPr="00EF4C8A">
        <w:rPr>
          <w:szCs w:val="24"/>
          <w:lang w:eastAsia="en-US" w:bidi="en-US"/>
        </w:rPr>
        <w:t>, ostatní plocha, ostatní komunikace, cca 31 m</w:t>
      </w:r>
      <w:r w:rsidRPr="00EF4C8A">
        <w:rPr>
          <w:szCs w:val="24"/>
          <w:vertAlign w:val="superscript"/>
          <w:lang w:eastAsia="en-US" w:bidi="en-US"/>
        </w:rPr>
        <w:t>2</w:t>
      </w:r>
    </w:p>
    <w:p w:rsidR="002152B6" w:rsidRPr="00EF4C8A" w:rsidRDefault="002152B6" w:rsidP="002152B6">
      <w:pPr>
        <w:numPr>
          <w:ilvl w:val="0"/>
          <w:numId w:val="2"/>
        </w:numPr>
        <w:rPr>
          <w:szCs w:val="24"/>
          <w:lang w:eastAsia="en-US" w:bidi="en-US"/>
        </w:rPr>
      </w:pPr>
      <w:r w:rsidRPr="00EF4C8A">
        <w:rPr>
          <w:szCs w:val="24"/>
          <w:lang w:eastAsia="en-US" w:bidi="en-US"/>
        </w:rPr>
        <w:t>část parc. č. 1935/20 o celkové výměře 942 m</w:t>
      </w:r>
      <w:r w:rsidRPr="00EF4C8A">
        <w:rPr>
          <w:szCs w:val="24"/>
          <w:vertAlign w:val="superscript"/>
          <w:lang w:eastAsia="en-US" w:bidi="en-US"/>
        </w:rPr>
        <w:t>2</w:t>
      </w:r>
      <w:r w:rsidRPr="00EF4C8A">
        <w:rPr>
          <w:szCs w:val="24"/>
          <w:lang w:eastAsia="en-US" w:bidi="en-US"/>
        </w:rPr>
        <w:t>, ostatní plocha, ostatní komunikace, k. ú. Bručná, cca 545 m</w:t>
      </w:r>
      <w:r w:rsidRPr="00EF4C8A">
        <w:rPr>
          <w:szCs w:val="24"/>
          <w:vertAlign w:val="superscript"/>
          <w:lang w:eastAsia="en-US" w:bidi="en-US"/>
        </w:rPr>
        <w:t>2</w:t>
      </w:r>
    </w:p>
    <w:p w:rsidR="002152B6" w:rsidRPr="00EF4C8A" w:rsidRDefault="002152B6" w:rsidP="002152B6">
      <w:pPr>
        <w:rPr>
          <w:szCs w:val="24"/>
          <w:lang w:eastAsia="en-US" w:bidi="en-US"/>
        </w:rPr>
      </w:pPr>
      <w:r w:rsidRPr="00EF4C8A">
        <w:rPr>
          <w:szCs w:val="24"/>
          <w:lang w:eastAsia="en-US" w:bidi="en-US"/>
        </w:rPr>
        <w:t>zaps. na LV č. 1 v katastru nemovitostí vedeném Katastrálním úřadem pro Plzeňský kraj, Katastrální pracoviště Plzeň-město, pro obec Plzeň a k. ú. Bručná.</w:t>
      </w:r>
    </w:p>
    <w:p w:rsidR="002152B6" w:rsidRPr="00EF4C8A" w:rsidRDefault="002152B6" w:rsidP="002152B6">
      <w:pPr>
        <w:rPr>
          <w:szCs w:val="24"/>
          <w:lang w:eastAsia="en-US" w:bidi="en-US"/>
        </w:rPr>
      </w:pPr>
    </w:p>
    <w:p w:rsidR="002152B6" w:rsidRPr="00EF4C8A" w:rsidRDefault="002152B6" w:rsidP="002152B6">
      <w:pPr>
        <w:tabs>
          <w:tab w:val="left" w:pos="284"/>
        </w:tabs>
        <w:rPr>
          <w:szCs w:val="24"/>
          <w:lang w:eastAsia="en-US" w:bidi="en-US"/>
        </w:rPr>
      </w:pPr>
      <w:r w:rsidRPr="00EF4C8A">
        <w:rPr>
          <w:szCs w:val="24"/>
          <w:lang w:eastAsia="en-US" w:bidi="en-US"/>
        </w:rPr>
        <w:tab/>
        <w:t>Pozemky či jejich části, jež jsou předmětem budoucího bezúplatného převodu do majetku Plzeňského kraje, budou zasaženy TI – vozovkou okružní křižovatky, prstencem okružní křižovatky, vozovkou větev E, vozovkou větev C. Tato technická infrastruktura, bude společností VGP darována do majetku Plzeňského kraje.</w:t>
      </w:r>
    </w:p>
    <w:p w:rsidR="002152B6" w:rsidRPr="00EF4C8A" w:rsidRDefault="002152B6" w:rsidP="002152B6">
      <w:pPr>
        <w:rPr>
          <w:szCs w:val="24"/>
          <w:lang w:eastAsia="en-US" w:bidi="en-US"/>
        </w:rPr>
      </w:pPr>
    </w:p>
    <w:p w:rsidR="002152B6" w:rsidRPr="00EF4C8A" w:rsidRDefault="002152B6" w:rsidP="002152B6">
      <w:pPr>
        <w:tabs>
          <w:tab w:val="left" w:pos="284"/>
        </w:tabs>
        <w:rPr>
          <w:szCs w:val="24"/>
          <w:lang w:eastAsia="en-US" w:bidi="en-US"/>
        </w:rPr>
      </w:pPr>
      <w:r w:rsidRPr="00EF4C8A">
        <w:rPr>
          <w:szCs w:val="24"/>
          <w:lang w:eastAsia="en-US" w:bidi="en-US"/>
        </w:rPr>
        <w:tab/>
        <w:t>Rozsah majetkového vypořádání pozemků či jejich částí je stanoven dle záborového elaborátu, zpracovaného projekční kanceláří D PROJEKT Plzeň, Nedvěd s.r.o., a to v rámci stavby „VGP PARK BRUČNÁ, Okružní křižovatka na silnici III. třídy“, s tím, že přesný rozsah převáděných pozemků bude stanoven na základě zaměření skutečného provedení stavby.</w:t>
      </w:r>
    </w:p>
    <w:p w:rsidR="002152B6" w:rsidRPr="00EF4C8A" w:rsidRDefault="002152B6" w:rsidP="002152B6">
      <w:pPr>
        <w:rPr>
          <w:szCs w:val="24"/>
          <w:lang w:eastAsia="en-US" w:bidi="en-US"/>
        </w:rPr>
      </w:pPr>
    </w:p>
    <w:p w:rsidR="002152B6" w:rsidRPr="00EF4C8A" w:rsidRDefault="002152B6" w:rsidP="002152B6">
      <w:pPr>
        <w:rPr>
          <w:szCs w:val="24"/>
          <w:lang w:eastAsia="en-US" w:bidi="en-US"/>
        </w:rPr>
      </w:pPr>
      <w:r w:rsidRPr="00EF4C8A">
        <w:rPr>
          <w:szCs w:val="24"/>
          <w:lang w:eastAsia="en-US" w:bidi="en-US"/>
        </w:rPr>
        <w:t xml:space="preserve">Podmínky: </w:t>
      </w:r>
    </w:p>
    <w:p w:rsidR="002152B6" w:rsidRPr="00EF4C8A" w:rsidRDefault="002152B6" w:rsidP="002152B6">
      <w:pPr>
        <w:numPr>
          <w:ilvl w:val="0"/>
          <w:numId w:val="3"/>
        </w:numPr>
        <w:rPr>
          <w:szCs w:val="24"/>
          <w:lang w:eastAsia="en-US" w:bidi="en-US"/>
        </w:rPr>
      </w:pPr>
      <w:r w:rsidRPr="00EF4C8A">
        <w:rPr>
          <w:szCs w:val="24"/>
          <w:lang w:eastAsia="en-US" w:bidi="en-US"/>
        </w:rPr>
        <w:t>smluvní strany se zavazují uzavřít smlouv</w:t>
      </w:r>
      <w:r>
        <w:rPr>
          <w:szCs w:val="24"/>
          <w:lang w:eastAsia="en-US" w:bidi="en-US"/>
        </w:rPr>
        <w:t>y</w:t>
      </w:r>
      <w:r w:rsidRPr="00EF4C8A">
        <w:rPr>
          <w:szCs w:val="24"/>
          <w:lang w:eastAsia="en-US" w:bidi="en-US"/>
        </w:rPr>
        <w:t xml:space="preserve"> darovací nejpozději do 12 měsíců od předání poslední kolaudace stavby budoucím správc</w:t>
      </w:r>
      <w:r>
        <w:rPr>
          <w:szCs w:val="24"/>
          <w:lang w:eastAsia="en-US" w:bidi="en-US"/>
        </w:rPr>
        <w:t>ům, nej</w:t>
      </w:r>
      <w:r w:rsidRPr="00EF4C8A">
        <w:rPr>
          <w:szCs w:val="24"/>
          <w:lang w:eastAsia="en-US" w:bidi="en-US"/>
        </w:rPr>
        <w:t>déle do 31. 12. 2015,</w:t>
      </w:r>
    </w:p>
    <w:p w:rsidR="002152B6" w:rsidRPr="00EF4C8A" w:rsidRDefault="002152B6" w:rsidP="002152B6">
      <w:pPr>
        <w:numPr>
          <w:ilvl w:val="0"/>
          <w:numId w:val="3"/>
        </w:numPr>
        <w:rPr>
          <w:szCs w:val="24"/>
          <w:lang w:eastAsia="en-US" w:bidi="en-US"/>
        </w:rPr>
      </w:pPr>
      <w:r w:rsidRPr="00EF4C8A">
        <w:rPr>
          <w:szCs w:val="24"/>
          <w:lang w:eastAsia="en-US" w:bidi="en-US"/>
        </w:rPr>
        <w:t>smluvní strany dále sjednávají, že nedojde-li k uzavření smluv darovací</w:t>
      </w:r>
      <w:r>
        <w:rPr>
          <w:szCs w:val="24"/>
          <w:lang w:eastAsia="en-US" w:bidi="en-US"/>
        </w:rPr>
        <w:t>ch</w:t>
      </w:r>
      <w:r w:rsidRPr="00EF4C8A">
        <w:rPr>
          <w:szCs w:val="24"/>
          <w:lang w:eastAsia="en-US" w:bidi="en-US"/>
        </w:rPr>
        <w:t xml:space="preserve"> v této lhůtě, m</w:t>
      </w:r>
      <w:r>
        <w:rPr>
          <w:szCs w:val="24"/>
          <w:lang w:eastAsia="en-US" w:bidi="en-US"/>
        </w:rPr>
        <w:t xml:space="preserve">ají smluvní strany </w:t>
      </w:r>
      <w:r w:rsidRPr="00EF4C8A">
        <w:rPr>
          <w:szCs w:val="24"/>
          <w:lang w:eastAsia="en-US" w:bidi="en-US"/>
        </w:rPr>
        <w:t>právo od t</w:t>
      </w:r>
      <w:r>
        <w:rPr>
          <w:szCs w:val="24"/>
          <w:lang w:eastAsia="en-US" w:bidi="en-US"/>
        </w:rPr>
        <w:t>ěchto</w:t>
      </w:r>
      <w:r w:rsidRPr="00EF4C8A">
        <w:rPr>
          <w:szCs w:val="24"/>
          <w:lang w:eastAsia="en-US" w:bidi="en-US"/>
        </w:rPr>
        <w:t xml:space="preserve"> smluv odstoupit.</w:t>
      </w:r>
    </w:p>
    <w:p w:rsidR="002152B6" w:rsidRPr="00EF4C8A" w:rsidRDefault="002152B6" w:rsidP="002152B6">
      <w:pPr>
        <w:tabs>
          <w:tab w:val="left" w:pos="-142"/>
          <w:tab w:val="left" w:pos="0"/>
          <w:tab w:val="left" w:pos="284"/>
        </w:tabs>
      </w:pPr>
    </w:p>
    <w:p w:rsidR="002152B6" w:rsidRPr="00EF4C8A" w:rsidRDefault="002152B6" w:rsidP="002152B6">
      <w:pPr>
        <w:tabs>
          <w:tab w:val="left" w:pos="-142"/>
          <w:tab w:val="left" w:pos="0"/>
          <w:tab w:val="left" w:pos="284"/>
        </w:tabs>
      </w:pPr>
      <w:r w:rsidRPr="00EF4C8A">
        <w:tab/>
        <w:t>K pozemkům parc. č. 1935/15 a parc. č. 1935/28 k. ú. Bručná jsou zapsána v části C na LV č. 1239, k. ú. Bručná věcná břemena zřizování a provozování vedení kanalizačního výtlačného potrubí, kanalizačního sběrače a vodovodního rozváděcího řadu a kanalizační stoky a dále zřizování a provozování vedení kabelů veřejného osvětlení, pro oprávněného statutární město Plzeň (věcná břemena se týkají převáděných částí), tato věcná břemena zaniknou splynutím dnem právních účinků vkladu vlastnického práva do katastru nemovitostí pro nového vlastníka město Plzeň.</w:t>
      </w:r>
    </w:p>
    <w:p w:rsidR="002152B6" w:rsidRPr="00EF4C8A" w:rsidRDefault="002152B6" w:rsidP="002152B6">
      <w:pPr>
        <w:tabs>
          <w:tab w:val="left" w:pos="-142"/>
          <w:tab w:val="left" w:pos="0"/>
          <w:tab w:val="left" w:pos="284"/>
        </w:tabs>
      </w:pPr>
    </w:p>
    <w:p w:rsidR="002152B6" w:rsidRPr="00EF4C8A" w:rsidRDefault="002152B6" w:rsidP="002152B6">
      <w:pPr>
        <w:tabs>
          <w:tab w:val="left" w:pos="-142"/>
          <w:tab w:val="left" w:pos="0"/>
          <w:tab w:val="left" w:pos="284"/>
        </w:tabs>
      </w:pPr>
      <w:r w:rsidRPr="00EF4C8A">
        <w:rPr>
          <w:color w:val="C00000"/>
        </w:rPr>
        <w:tab/>
      </w:r>
      <w:r w:rsidRPr="00EF4C8A">
        <w:t>Na pozemku parc. č. 1935/20 k. ú. Bručná se nachází vodovodní řad DN 150, výtlačná kanalizační stoka DN 200 a kanalizační stoka DN 1200 v majetku města Plzně, ve správě OSI MMP. V případě převodu části pozemku parc. č. 1935/20 k. ú. Bručná z vlastnictví města Plzně do majetku Plzeňského kraje, zatíženou výše uvedenou vodohospodářskou infrastrukturou, bude na tyto sítě včetně jejich ochranného pásma zřízeno věcné břemeno.</w:t>
      </w:r>
    </w:p>
    <w:p w:rsidR="002152B6" w:rsidRPr="00EF4C8A" w:rsidRDefault="002152B6" w:rsidP="002152B6">
      <w:pPr>
        <w:tabs>
          <w:tab w:val="left" w:pos="-142"/>
          <w:tab w:val="left" w:pos="0"/>
          <w:tab w:val="left" w:pos="284"/>
        </w:tabs>
      </w:pPr>
      <w:r w:rsidRPr="00EF4C8A">
        <w:tab/>
        <w:t>Smlouva o zřízení věcného břemene bude uzavřena samostatným smluvním vztahem, a to po provedení vkladového řízení konečné darovací smlouvy (podmínka Plzeňského kraje, plnou moc na smlouvy o zřízení VB uzavírá Správa a údržba silnic Plzeňského kraje). Tato smlouva bude uzavřena Technickým úřadem MMP.</w:t>
      </w:r>
    </w:p>
    <w:p w:rsidR="002152B6" w:rsidRPr="00EF4C8A" w:rsidRDefault="002152B6" w:rsidP="002152B6">
      <w:pPr>
        <w:tabs>
          <w:tab w:val="left" w:pos="-142"/>
          <w:tab w:val="left" w:pos="0"/>
          <w:tab w:val="left" w:pos="284"/>
        </w:tabs>
      </w:pPr>
      <w:r w:rsidRPr="00EF4C8A">
        <w:tab/>
        <w:t>Technický úřad MMP svým souhrnným stanoviskem č.j. MMP/38158, 119984/12 ze dne 19. 7. 2012 souhlasí s vypořádáním pozemků mezi městem Plzní, Plzeňským krajem a společností VGP. Souhlasí se svěřením získaného majetku do správy SVSMP.</w:t>
      </w:r>
    </w:p>
    <w:p w:rsidR="002152B6" w:rsidRDefault="002152B6" w:rsidP="002152B6">
      <w:pPr>
        <w:tabs>
          <w:tab w:val="left" w:pos="-142"/>
          <w:tab w:val="left" w:pos="0"/>
          <w:tab w:val="left" w:pos="284"/>
        </w:tabs>
      </w:pPr>
      <w:r w:rsidRPr="00EF4C8A">
        <w:lastRenderedPageBreak/>
        <w:tab/>
        <w:t>Stanovisk</w:t>
      </w:r>
      <w:r>
        <w:t xml:space="preserve">em starosty </w:t>
      </w:r>
      <w:r w:rsidRPr="00EF4C8A">
        <w:t xml:space="preserve">Městského obvodu Plzeň 2 – Slovany </w:t>
      </w:r>
      <w:r>
        <w:t>č.j. 47/2012 ze dne 26. 7. 2012 byl vysloven souhlas s výše popsanou majetkovou transakcí.</w:t>
      </w:r>
    </w:p>
    <w:p w:rsidR="002152B6" w:rsidRDefault="002152B6" w:rsidP="002152B6">
      <w:pPr>
        <w:pStyle w:val="Paragrafneslovan"/>
      </w:pPr>
      <w:r>
        <w:tab/>
        <w:t>Konečné smlouvy budou předloženy ke schválení do RMP a ZMP, kde bude schváleno i svěření nabývaného majetku.</w:t>
      </w:r>
    </w:p>
    <w:p w:rsidR="002152B6" w:rsidRPr="00EF4C8A" w:rsidRDefault="002152B6" w:rsidP="002152B6">
      <w:pPr>
        <w:tabs>
          <w:tab w:val="left" w:pos="-142"/>
          <w:tab w:val="left" w:pos="0"/>
          <w:tab w:val="left" w:pos="284"/>
        </w:tabs>
      </w:pPr>
    </w:p>
    <w:p w:rsidR="002152B6" w:rsidRPr="00EF4C8A" w:rsidRDefault="002152B6" w:rsidP="002152B6">
      <w:pPr>
        <w:tabs>
          <w:tab w:val="left" w:pos="-142"/>
          <w:tab w:val="left" w:pos="0"/>
          <w:tab w:val="left" w:pos="284"/>
        </w:tabs>
      </w:pPr>
      <w:r w:rsidRPr="00EF4C8A">
        <w:tab/>
        <w:t>Město Plzeň je vlastníkem pozemků parc. č. 1935/4, parc. č. 1935/5, parc. č. 1935/8, parc. č. 1935/10, parc. č. 1935/18 a parc. č. 1935/11 na základě uzavřených kupních smluv v roce 2000 a v roce 2001. Vlastníkem pozemku parc. č. 1935/20 je na základě § 5 zákona ČNR č. č. 172/1991 Sb., o přechodu některých věcí z majetku České republiky do vlastnictví obcí a na základě kupní smlouvy.</w:t>
      </w:r>
    </w:p>
    <w:p w:rsidR="002152B6" w:rsidRDefault="002152B6" w:rsidP="002152B6">
      <w:pPr>
        <w:pStyle w:val="vlevo"/>
      </w:pPr>
      <w:r w:rsidRPr="00EF4C8A">
        <w:rPr>
          <w:sz w:val="20"/>
        </w:rPr>
        <w:tab/>
      </w:r>
      <w:r w:rsidRPr="00782F42">
        <w:t>Dle platného územního plánu se nachází pozemky v plochách „Dopravní plochy – ostatní.“</w:t>
      </w:r>
    </w:p>
    <w:p w:rsidR="002152B6" w:rsidRDefault="002152B6" w:rsidP="002152B6">
      <w:pPr>
        <w:pStyle w:val="vlevo"/>
      </w:pPr>
      <w:r>
        <w:tab/>
        <w:t>KNM RMP na svém zasedání dne 20. 9. 2012 doporučila RMP souhlasit s majetkoprávním vypořádáním pozemků mezi městem Plzní a Plzeňským krajem.</w:t>
      </w:r>
    </w:p>
    <w:p w:rsidR="002152B6" w:rsidRDefault="002152B6" w:rsidP="002152B6">
      <w:pPr>
        <w:pStyle w:val="vlevo"/>
      </w:pPr>
      <w:r>
        <w:tab/>
        <w:t>Usnesením Rady města Plzně č. 1267 ze dne 27. 9. 2012 byl vysloven souhlas s předkládanou majetkovou transakcí.</w:t>
      </w:r>
    </w:p>
    <w:p w:rsidR="002152B6" w:rsidRDefault="002152B6" w:rsidP="002152B6">
      <w:pPr>
        <w:pStyle w:val="vlevo"/>
        <w:rPr>
          <w:lang w:val="en-AU"/>
        </w:rPr>
      </w:pPr>
    </w:p>
    <w:p w:rsidR="002152B6" w:rsidRDefault="002152B6" w:rsidP="002152B6">
      <w:pPr>
        <w:pStyle w:val="ostzahl"/>
        <w:rPr>
          <w:lang w:val="en-AU"/>
        </w:rPr>
      </w:pPr>
      <w:r>
        <w:rPr>
          <w:lang w:val="en-AU"/>
        </w:rPr>
        <w:t>Předpokládaný cílový stav</w:t>
      </w:r>
    </w:p>
    <w:p w:rsidR="002152B6" w:rsidRDefault="002152B6" w:rsidP="002152B6">
      <w:pPr>
        <w:pStyle w:val="vlevo"/>
      </w:pPr>
      <w:r>
        <w:tab/>
        <w:t>Majetkoprávní vypořádání pozemků zasažených stavbou TDI v k. ú. Bručná v souvislosti se stavbou „VGP PARK BRUČNÁ, Okružní křižovatka na silnici III. třídy“ mezi městem Plzní a Plzeňským krajem formou vzájemných budoucích darů.</w:t>
      </w:r>
    </w:p>
    <w:p w:rsidR="002152B6" w:rsidRDefault="002152B6" w:rsidP="002152B6">
      <w:pPr>
        <w:pStyle w:val="vlevo"/>
        <w:rPr>
          <w:lang w:val="en-AU"/>
        </w:rPr>
      </w:pPr>
    </w:p>
    <w:p w:rsidR="002152B6" w:rsidRDefault="002152B6" w:rsidP="002152B6">
      <w:pPr>
        <w:pStyle w:val="ostzahl"/>
        <w:rPr>
          <w:lang w:val="en-AU"/>
        </w:rPr>
      </w:pPr>
      <w:r>
        <w:rPr>
          <w:lang w:val="en-AU"/>
        </w:rPr>
        <w:t>Navrhované varianty řešení</w:t>
      </w:r>
    </w:p>
    <w:p w:rsidR="002152B6" w:rsidRDefault="002152B6" w:rsidP="002152B6">
      <w:pPr>
        <w:pStyle w:val="vlevo"/>
        <w:rPr>
          <w:lang w:val="en-AU"/>
        </w:rPr>
      </w:pPr>
      <w:r>
        <w:rPr>
          <w:lang w:val="en-AU"/>
        </w:rPr>
        <w:t>Viz návrh usnesení.</w:t>
      </w:r>
    </w:p>
    <w:p w:rsidR="002152B6" w:rsidRDefault="002152B6" w:rsidP="002152B6">
      <w:pPr>
        <w:pStyle w:val="vlevo"/>
        <w:rPr>
          <w:lang w:val="en-AU"/>
        </w:rPr>
      </w:pPr>
    </w:p>
    <w:p w:rsidR="002152B6" w:rsidRDefault="002152B6" w:rsidP="002152B6">
      <w:pPr>
        <w:pStyle w:val="ostzahl"/>
        <w:rPr>
          <w:lang w:val="en-AU"/>
        </w:rPr>
      </w:pPr>
      <w:r>
        <w:rPr>
          <w:lang w:val="en-AU"/>
        </w:rPr>
        <w:t>Doporučená varianta řešení</w:t>
      </w:r>
    </w:p>
    <w:p w:rsidR="002152B6" w:rsidRDefault="002152B6" w:rsidP="002152B6">
      <w:pPr>
        <w:pStyle w:val="vlevo"/>
        <w:rPr>
          <w:lang w:val="en-AU"/>
        </w:rPr>
      </w:pPr>
      <w:r>
        <w:rPr>
          <w:lang w:val="en-AU"/>
        </w:rPr>
        <w:t>Viz návrh usnesení.</w:t>
      </w:r>
    </w:p>
    <w:p w:rsidR="002152B6" w:rsidRDefault="002152B6" w:rsidP="002152B6">
      <w:pPr>
        <w:pStyle w:val="vlevo"/>
        <w:rPr>
          <w:lang w:val="en-AU"/>
        </w:rPr>
      </w:pPr>
    </w:p>
    <w:p w:rsidR="002152B6" w:rsidRDefault="002152B6" w:rsidP="002152B6">
      <w:pPr>
        <w:pStyle w:val="ostzahl"/>
        <w:rPr>
          <w:lang w:val="en-AU"/>
        </w:rPr>
      </w:pPr>
      <w:r>
        <w:rPr>
          <w:lang w:val="en-AU"/>
        </w:rPr>
        <w:t>Finanční nároky řešení a možnosti finančního krytí</w:t>
      </w:r>
    </w:p>
    <w:p w:rsidR="002152B6" w:rsidRDefault="002152B6" w:rsidP="002152B6">
      <w:pPr>
        <w:pStyle w:val="vlevo"/>
        <w:rPr>
          <w:lang w:val="en-AU"/>
        </w:rPr>
      </w:pPr>
      <w:r>
        <w:rPr>
          <w:lang w:val="en-AU"/>
        </w:rPr>
        <w:t>Žádné.</w:t>
      </w:r>
    </w:p>
    <w:p w:rsidR="002152B6" w:rsidRDefault="002152B6" w:rsidP="002152B6">
      <w:pPr>
        <w:pStyle w:val="vlevo"/>
        <w:rPr>
          <w:lang w:val="en-AU"/>
        </w:rPr>
      </w:pPr>
    </w:p>
    <w:p w:rsidR="002152B6" w:rsidRDefault="002152B6" w:rsidP="002152B6">
      <w:pPr>
        <w:pStyle w:val="ostzahl"/>
        <w:rPr>
          <w:lang w:val="en-AU"/>
        </w:rPr>
      </w:pPr>
      <w:r>
        <w:rPr>
          <w:lang w:val="en-AU"/>
        </w:rPr>
        <w:t>Návrh termínů realizace a určení zodpovědných pracovníků</w:t>
      </w:r>
    </w:p>
    <w:p w:rsidR="002152B6" w:rsidRDefault="002152B6" w:rsidP="002152B6">
      <w:pPr>
        <w:pStyle w:val="vlevo"/>
        <w:rPr>
          <w:lang w:val="en-AU"/>
        </w:rPr>
      </w:pPr>
      <w:r>
        <w:rPr>
          <w:lang w:val="en-AU"/>
        </w:rPr>
        <w:t>Viz návrh usnesení.</w:t>
      </w:r>
    </w:p>
    <w:p w:rsidR="002152B6" w:rsidRDefault="002152B6" w:rsidP="002152B6">
      <w:pPr>
        <w:pStyle w:val="vlevo"/>
        <w:rPr>
          <w:lang w:val="en-AU"/>
        </w:rPr>
      </w:pPr>
    </w:p>
    <w:p w:rsidR="002152B6" w:rsidRDefault="002152B6" w:rsidP="002152B6">
      <w:pPr>
        <w:pStyle w:val="ostzahl"/>
        <w:rPr>
          <w:lang w:val="en-AU"/>
        </w:rPr>
      </w:pPr>
      <w:r>
        <w:rPr>
          <w:lang w:val="en-AU"/>
        </w:rPr>
        <w:t>Dříve přijatá usnesení orgánů města nebo městských obvodů, která s tímto návrhem souvisejí</w:t>
      </w:r>
    </w:p>
    <w:p w:rsidR="002152B6" w:rsidRDefault="002152B6" w:rsidP="002152B6">
      <w:pPr>
        <w:pStyle w:val="vlevo"/>
      </w:pPr>
      <w:r>
        <w:t>Stanovisko TÚ MMP</w:t>
      </w:r>
    </w:p>
    <w:p w:rsidR="002152B6" w:rsidRDefault="002152B6" w:rsidP="002152B6">
      <w:pPr>
        <w:pStyle w:val="vlevo"/>
      </w:pPr>
      <w:r>
        <w:t>Stanovisko starosty MO Plzeň 2 – Slovany</w:t>
      </w:r>
    </w:p>
    <w:p w:rsidR="002152B6" w:rsidRDefault="002152B6" w:rsidP="002152B6">
      <w:pPr>
        <w:pStyle w:val="vlevo"/>
      </w:pPr>
      <w:r>
        <w:t xml:space="preserve">Zápis z KNM RMP ze dne 20. 9. 2012 </w:t>
      </w:r>
    </w:p>
    <w:p w:rsidR="002152B6" w:rsidRDefault="002152B6" w:rsidP="002152B6">
      <w:pPr>
        <w:pStyle w:val="vlevo"/>
      </w:pPr>
      <w:r>
        <w:t>Usnesení RMP č. 1267 ze dne 27. 9. 2012.</w:t>
      </w:r>
    </w:p>
    <w:p w:rsidR="002152B6" w:rsidRDefault="002152B6" w:rsidP="002152B6">
      <w:pPr>
        <w:pStyle w:val="vlevo"/>
      </w:pPr>
      <w:bookmarkStart w:id="0" w:name="_GoBack"/>
      <w:bookmarkEnd w:id="0"/>
    </w:p>
    <w:p w:rsidR="002152B6" w:rsidRDefault="002152B6" w:rsidP="002152B6">
      <w:pPr>
        <w:pStyle w:val="ostzahl"/>
      </w:pPr>
      <w:r>
        <w:t>Závazky či pohledávky vůči městu Plzni</w:t>
      </w:r>
    </w:p>
    <w:p w:rsidR="002152B6" w:rsidRDefault="002152B6" w:rsidP="002152B6">
      <w:pPr>
        <w:pStyle w:val="vlevo"/>
      </w:pPr>
      <w:r>
        <w:t>Nešetří se.</w:t>
      </w:r>
    </w:p>
    <w:p w:rsidR="002152B6" w:rsidRDefault="002152B6" w:rsidP="002152B6">
      <w:pPr>
        <w:pStyle w:val="vlevo"/>
      </w:pPr>
    </w:p>
    <w:p w:rsidR="002152B6" w:rsidRDefault="002152B6" w:rsidP="002152B6">
      <w:pPr>
        <w:pStyle w:val="ostzahl"/>
        <w:jc w:val="left"/>
      </w:pPr>
      <w:r>
        <w:lastRenderedPageBreak/>
        <w:t>Přílohy</w:t>
      </w:r>
    </w:p>
    <w:p w:rsidR="002152B6" w:rsidRDefault="002152B6" w:rsidP="002152B6">
      <w:pPr>
        <w:pStyle w:val="vlevo"/>
      </w:pPr>
      <w:r>
        <w:t>Příloha č. 1 – žádost VGP</w:t>
      </w:r>
    </w:p>
    <w:p w:rsidR="002152B6" w:rsidRDefault="002152B6" w:rsidP="002152B6">
      <w:pPr>
        <w:pStyle w:val="vlevo"/>
      </w:pPr>
      <w:r>
        <w:t>Příloha č. 2 – vyjádření SÚS Kralovice</w:t>
      </w:r>
    </w:p>
    <w:p w:rsidR="002152B6" w:rsidRDefault="002152B6" w:rsidP="002152B6">
      <w:pPr>
        <w:pStyle w:val="vlevo"/>
      </w:pPr>
      <w:r>
        <w:t>Příloha č. 3 – zákres stavby a zasažených pozemků</w:t>
      </w:r>
    </w:p>
    <w:p w:rsidR="002152B6" w:rsidRDefault="002152B6" w:rsidP="002152B6">
      <w:pPr>
        <w:pStyle w:val="vlevo"/>
      </w:pPr>
      <w:r>
        <w:t>Příloha č. 4 – stanovisko TÚ MMP</w:t>
      </w:r>
    </w:p>
    <w:p w:rsidR="002152B6" w:rsidRDefault="002152B6" w:rsidP="002152B6">
      <w:pPr>
        <w:pStyle w:val="vlevo"/>
      </w:pPr>
      <w:r>
        <w:t>Příloha č. 5 – stanovisko starosty MO Plzeň 2 – Slovany</w:t>
      </w:r>
    </w:p>
    <w:p w:rsidR="002152B6" w:rsidRDefault="002152B6" w:rsidP="002152B6">
      <w:pPr>
        <w:pStyle w:val="vlevo"/>
      </w:pPr>
      <w:r>
        <w:t>Příloha č. 6 – zápis z KNM RMP</w:t>
      </w:r>
    </w:p>
    <w:p w:rsidR="002152B6" w:rsidRDefault="002152B6" w:rsidP="002152B6">
      <w:pPr>
        <w:pStyle w:val="vlevo"/>
      </w:pPr>
      <w:r>
        <w:t>Příloha č. 7 – modrá mapa se zákresem</w:t>
      </w:r>
    </w:p>
    <w:p w:rsidR="002152B6" w:rsidRDefault="002152B6" w:rsidP="002152B6">
      <w:pPr>
        <w:pStyle w:val="vlevo"/>
      </w:pPr>
      <w:r>
        <w:t xml:space="preserve">Příloha č. 8 – katastrální mapy </w:t>
      </w:r>
    </w:p>
    <w:p w:rsidR="002152B6" w:rsidRDefault="002152B6" w:rsidP="002152B6">
      <w:pPr>
        <w:pStyle w:val="vlevo"/>
      </w:pPr>
      <w:r>
        <w:tab/>
      </w:r>
      <w:r>
        <w:tab/>
        <w:t xml:space="preserve">       – územní plán, letecký snímek, orientační turistická mapa</w:t>
      </w:r>
    </w:p>
    <w:p w:rsidR="002152B6" w:rsidRDefault="002152B6" w:rsidP="002152B6">
      <w:pPr>
        <w:pStyle w:val="vlevo"/>
      </w:pPr>
      <w:r>
        <w:t>Příloha č. 9 – usnesení RMP č. 1267 ze dne 27. 9. 2012.</w:t>
      </w:r>
    </w:p>
    <w:p w:rsidR="002152B6" w:rsidRDefault="002152B6" w:rsidP="002152B6">
      <w:pPr>
        <w:pStyle w:val="vlevo"/>
      </w:pPr>
    </w:p>
    <w:p w:rsidR="002152B6" w:rsidRDefault="002152B6" w:rsidP="002152B6">
      <w:pPr>
        <w:pStyle w:val="vlevo"/>
      </w:pPr>
    </w:p>
    <w:p w:rsidR="002152B6" w:rsidRDefault="002152B6" w:rsidP="002152B6">
      <w:pPr>
        <w:pStyle w:val="vlevo"/>
      </w:pPr>
      <w:r>
        <w:t>Zpracovala: Jitka Kašparová, MAJ MMP.</w:t>
      </w:r>
    </w:p>
    <w:p w:rsidR="002152B6" w:rsidRPr="00C85697" w:rsidRDefault="002152B6" w:rsidP="002152B6">
      <w:pPr>
        <w:pStyle w:val="vlevo"/>
        <w:rPr>
          <w:lang w:val="en-AU"/>
        </w:rPr>
      </w:pPr>
    </w:p>
    <w:p w:rsidR="002152B6" w:rsidRDefault="002152B6" w:rsidP="002152B6">
      <w:pPr>
        <w:pStyle w:val="vlevo"/>
      </w:pPr>
    </w:p>
    <w:p w:rsidR="002152B6" w:rsidRDefault="002152B6" w:rsidP="002152B6">
      <w:pPr>
        <w:pStyle w:val="ostzahl"/>
        <w:numPr>
          <w:ilvl w:val="0"/>
          <w:numId w:val="0"/>
        </w:numPr>
      </w:pPr>
      <w:r>
        <w:t xml:space="preserve"> </w:t>
      </w:r>
    </w:p>
    <w:p w:rsidR="002152B6" w:rsidRDefault="002152B6" w:rsidP="002152B6">
      <w:pPr>
        <w:pStyle w:val="vlevo"/>
      </w:pPr>
    </w:p>
    <w:p w:rsidR="00763863" w:rsidRDefault="002152B6"/>
    <w:sectPr w:rsidR="00763863">
      <w:footerReference w:type="default" r:id="rId6"/>
      <w:pgSz w:w="11906" w:h="16838"/>
      <w:pgMar w:top="1440" w:right="1797" w:bottom="1440"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F" w:rsidRDefault="002152B6">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Pr>
        <w:rStyle w:val="slostrnky"/>
        <w:noProof/>
        <w:color w:val="C0C0C0"/>
      </w:rPr>
      <w:t>4</w:t>
    </w:r>
    <w:r>
      <w:rPr>
        <w:rStyle w:val="slostrnky"/>
        <w:color w:val="C0C0C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72C"/>
    <w:multiLevelType w:val="hybridMultilevel"/>
    <w:tmpl w:val="C0D4337A"/>
    <w:lvl w:ilvl="0" w:tplc="126E860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096B7D"/>
    <w:multiLevelType w:val="hybridMultilevel"/>
    <w:tmpl w:val="FCB41B7A"/>
    <w:lvl w:ilvl="0" w:tplc="FFBEAF9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B5040C"/>
    <w:multiLevelType w:val="hybridMultilevel"/>
    <w:tmpl w:val="61208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7A2FD4"/>
    <w:multiLevelType w:val="singleLevel"/>
    <w:tmpl w:val="ACA246C4"/>
    <w:lvl w:ilvl="0">
      <w:start w:val="1"/>
      <w:numFmt w:val="decimal"/>
      <w:pStyle w:val="ostzah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B6"/>
    <w:rsid w:val="002152B6"/>
    <w:rsid w:val="004901A9"/>
    <w:rsid w:val="00DD5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2152B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2152B6"/>
  </w:style>
  <w:style w:type="paragraph" w:customStyle="1" w:styleId="vlevo">
    <w:name w:val="vlevo"/>
    <w:basedOn w:val="Normln"/>
    <w:link w:val="vlevoChar"/>
    <w:autoRedefine/>
    <w:rsid w:val="002152B6"/>
  </w:style>
  <w:style w:type="paragraph" w:customStyle="1" w:styleId="nadpcent">
    <w:name w:val="nadpcent"/>
    <w:basedOn w:val="Normln"/>
    <w:next w:val="vlevo"/>
    <w:autoRedefine/>
    <w:rsid w:val="002152B6"/>
    <w:pPr>
      <w:spacing w:before="600" w:after="480"/>
      <w:jc w:val="center"/>
    </w:pPr>
    <w:rPr>
      <w:b/>
      <w:caps/>
      <w:spacing w:val="22"/>
      <w:lang w:val="en-AU"/>
    </w:rPr>
  </w:style>
  <w:style w:type="paragraph" w:customStyle="1" w:styleId="ostzahl">
    <w:name w:val="ostzahl"/>
    <w:basedOn w:val="Normln"/>
    <w:next w:val="vlevo"/>
    <w:autoRedefine/>
    <w:rsid w:val="002152B6"/>
    <w:pPr>
      <w:numPr>
        <w:numId w:val="1"/>
      </w:numPr>
      <w:spacing w:before="120" w:after="120"/>
      <w:ind w:left="357" w:hanging="357"/>
    </w:pPr>
    <w:rPr>
      <w:b/>
      <w:spacing w:val="22"/>
    </w:rPr>
  </w:style>
  <w:style w:type="paragraph" w:styleId="Zpat">
    <w:name w:val="footer"/>
    <w:basedOn w:val="Normln"/>
    <w:link w:val="ZpatChar"/>
    <w:rsid w:val="002152B6"/>
    <w:pPr>
      <w:tabs>
        <w:tab w:val="center" w:pos="4153"/>
        <w:tab w:val="right" w:pos="8306"/>
      </w:tabs>
    </w:pPr>
  </w:style>
  <w:style w:type="character" w:customStyle="1" w:styleId="ZpatChar">
    <w:name w:val="Zápatí Char"/>
    <w:basedOn w:val="Standardnpsmoodstavce"/>
    <w:link w:val="Zpat"/>
    <w:rsid w:val="002152B6"/>
    <w:rPr>
      <w:rFonts w:ascii="Times New Roman" w:eastAsia="Times New Roman" w:hAnsi="Times New Roman" w:cs="Times New Roman"/>
      <w:sz w:val="24"/>
      <w:szCs w:val="20"/>
      <w:lang w:eastAsia="cs-CZ"/>
    </w:rPr>
  </w:style>
  <w:style w:type="character" w:styleId="slostrnky">
    <w:name w:val="page number"/>
    <w:basedOn w:val="Standardnpsmoodstavce"/>
    <w:rsid w:val="002152B6"/>
  </w:style>
  <w:style w:type="character" w:customStyle="1" w:styleId="vlevoChar">
    <w:name w:val="vlevo Char"/>
    <w:link w:val="vlevo"/>
    <w:rsid w:val="002152B6"/>
    <w:rPr>
      <w:rFonts w:ascii="Times New Roman" w:eastAsia="Times New Roman" w:hAnsi="Times New Roman" w:cs="Times New Roman"/>
      <w:sz w:val="24"/>
      <w:szCs w:val="20"/>
      <w:lang w:eastAsia="cs-CZ"/>
    </w:rPr>
  </w:style>
  <w:style w:type="paragraph" w:styleId="Normlnodsazen">
    <w:name w:val="Normal Indent"/>
    <w:basedOn w:val="Normln"/>
    <w:uiPriority w:val="99"/>
    <w:semiHidden/>
    <w:unhideWhenUsed/>
    <w:rsid w:val="002152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2152B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2152B6"/>
  </w:style>
  <w:style w:type="paragraph" w:customStyle="1" w:styleId="vlevo">
    <w:name w:val="vlevo"/>
    <w:basedOn w:val="Normln"/>
    <w:link w:val="vlevoChar"/>
    <w:autoRedefine/>
    <w:rsid w:val="002152B6"/>
  </w:style>
  <w:style w:type="paragraph" w:customStyle="1" w:styleId="nadpcent">
    <w:name w:val="nadpcent"/>
    <w:basedOn w:val="Normln"/>
    <w:next w:val="vlevo"/>
    <w:autoRedefine/>
    <w:rsid w:val="002152B6"/>
    <w:pPr>
      <w:spacing w:before="600" w:after="480"/>
      <w:jc w:val="center"/>
    </w:pPr>
    <w:rPr>
      <w:b/>
      <w:caps/>
      <w:spacing w:val="22"/>
      <w:lang w:val="en-AU"/>
    </w:rPr>
  </w:style>
  <w:style w:type="paragraph" w:customStyle="1" w:styleId="ostzahl">
    <w:name w:val="ostzahl"/>
    <w:basedOn w:val="Normln"/>
    <w:next w:val="vlevo"/>
    <w:autoRedefine/>
    <w:rsid w:val="002152B6"/>
    <w:pPr>
      <w:numPr>
        <w:numId w:val="1"/>
      </w:numPr>
      <w:spacing w:before="120" w:after="120"/>
      <w:ind w:left="357" w:hanging="357"/>
    </w:pPr>
    <w:rPr>
      <w:b/>
      <w:spacing w:val="22"/>
    </w:rPr>
  </w:style>
  <w:style w:type="paragraph" w:styleId="Zpat">
    <w:name w:val="footer"/>
    <w:basedOn w:val="Normln"/>
    <w:link w:val="ZpatChar"/>
    <w:rsid w:val="002152B6"/>
    <w:pPr>
      <w:tabs>
        <w:tab w:val="center" w:pos="4153"/>
        <w:tab w:val="right" w:pos="8306"/>
      </w:tabs>
    </w:pPr>
  </w:style>
  <w:style w:type="character" w:customStyle="1" w:styleId="ZpatChar">
    <w:name w:val="Zápatí Char"/>
    <w:basedOn w:val="Standardnpsmoodstavce"/>
    <w:link w:val="Zpat"/>
    <w:rsid w:val="002152B6"/>
    <w:rPr>
      <w:rFonts w:ascii="Times New Roman" w:eastAsia="Times New Roman" w:hAnsi="Times New Roman" w:cs="Times New Roman"/>
      <w:sz w:val="24"/>
      <w:szCs w:val="20"/>
      <w:lang w:eastAsia="cs-CZ"/>
    </w:rPr>
  </w:style>
  <w:style w:type="character" w:styleId="slostrnky">
    <w:name w:val="page number"/>
    <w:basedOn w:val="Standardnpsmoodstavce"/>
    <w:rsid w:val="002152B6"/>
  </w:style>
  <w:style w:type="character" w:customStyle="1" w:styleId="vlevoChar">
    <w:name w:val="vlevo Char"/>
    <w:link w:val="vlevo"/>
    <w:rsid w:val="002152B6"/>
    <w:rPr>
      <w:rFonts w:ascii="Times New Roman" w:eastAsia="Times New Roman" w:hAnsi="Times New Roman" w:cs="Times New Roman"/>
      <w:sz w:val="24"/>
      <w:szCs w:val="20"/>
      <w:lang w:eastAsia="cs-CZ"/>
    </w:rPr>
  </w:style>
  <w:style w:type="paragraph" w:styleId="Normlnodsazen">
    <w:name w:val="Normal Indent"/>
    <w:basedOn w:val="Normln"/>
    <w:uiPriority w:val="99"/>
    <w:semiHidden/>
    <w:unhideWhenUsed/>
    <w:rsid w:val="002152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6566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1</cp:revision>
  <dcterms:created xsi:type="dcterms:W3CDTF">2012-10-02T13:05:00Z</dcterms:created>
  <dcterms:modified xsi:type="dcterms:W3CDTF">2012-10-02T13:06:00Z</dcterms:modified>
</cp:coreProperties>
</file>