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2" w:rsidRDefault="00DC53F2">
      <w:pPr>
        <w:pStyle w:val="ostzahl"/>
        <w:outlineLvl w:val="0"/>
      </w:pPr>
    </w:p>
    <w:p w:rsidR="00DC53F2" w:rsidRDefault="00DC53F2">
      <w:pPr>
        <w:pStyle w:val="ostzahl"/>
        <w:outlineLvl w:val="0"/>
      </w:pPr>
      <w:r>
        <w:t>Důvodová zpráva</w:t>
      </w:r>
    </w:p>
    <w:p w:rsidR="00DC53F2" w:rsidRDefault="00DC53F2">
      <w:pPr>
        <w:pStyle w:val="vlevo"/>
        <w:spacing w:before="120"/>
        <w:rPr>
          <w:b/>
        </w:rPr>
      </w:pPr>
    </w:p>
    <w:p w:rsidR="00DC53F2" w:rsidRDefault="00DC53F2">
      <w:pPr>
        <w:pStyle w:val="vlevo"/>
        <w:numPr>
          <w:ilvl w:val="0"/>
          <w:numId w:val="1"/>
        </w:numPr>
        <w:spacing w:before="120" w:after="120"/>
        <w:rPr>
          <w:b/>
          <w:spacing w:val="22"/>
        </w:rPr>
      </w:pPr>
      <w:r>
        <w:rPr>
          <w:b/>
          <w:spacing w:val="22"/>
        </w:rPr>
        <w:t>Název problému a jeho charakteristika</w:t>
      </w:r>
    </w:p>
    <w:p w:rsidR="00DC53F2" w:rsidRDefault="00E418F3">
      <w:pPr>
        <w:pStyle w:val="Paragrafneeslovan"/>
        <w:spacing w:before="60" w:after="60"/>
        <w:rPr>
          <w:szCs w:val="24"/>
          <w:lang w:eastAsia="en-US"/>
        </w:rPr>
      </w:pPr>
      <w:r>
        <w:t xml:space="preserve">V rámci 9. výzvy IOP zaměřené na Zajištění přenosu dat a informací v územní veřejné správě předložilo město Plzeň na podzim roku 2010 žádost o dotaci k realizaci projektu „Infrastruktura pro distribuci služeb </w:t>
      </w:r>
      <w:proofErr w:type="spellStart"/>
      <w:r>
        <w:t>eGovernmentu</w:t>
      </w:r>
      <w:proofErr w:type="spellEnd"/>
      <w:r>
        <w:t xml:space="preserve">“. Na základě následné analýzy rizik byla provedena změna projektu, která spočívala v odstoupení od záměru spolupráce s Plzeňským krajem a v realizaci projektu pouze v části týkající se města Plzně. </w:t>
      </w:r>
    </w:p>
    <w:p w:rsidR="00DC53F2" w:rsidRDefault="00DC53F2">
      <w:pPr>
        <w:pStyle w:val="Paragrafneeslovan"/>
        <w:spacing w:before="60" w:after="60"/>
        <w:rPr>
          <w:b/>
          <w:szCs w:val="24"/>
          <w:u w:val="single"/>
          <w:lang w:eastAsia="en-US"/>
        </w:rPr>
      </w:pPr>
    </w:p>
    <w:p w:rsidR="00DC53F2" w:rsidRDefault="00DC53F2">
      <w:pPr>
        <w:pStyle w:val="Paragrafneeslovan"/>
        <w:rPr>
          <w:b/>
        </w:rPr>
      </w:pPr>
      <w:r>
        <w:rPr>
          <w:b/>
          <w:szCs w:val="24"/>
          <w:lang w:eastAsia="en-US"/>
        </w:rPr>
        <w:t>2.</w:t>
      </w:r>
      <w:r>
        <w:rPr>
          <w:b/>
          <w:szCs w:val="24"/>
          <w:lang w:eastAsia="en-US"/>
        </w:rPr>
        <w:tab/>
      </w:r>
      <w:r>
        <w:rPr>
          <w:b/>
        </w:rPr>
        <w:t>Konstatování současného stavu a jeho analýza</w:t>
      </w:r>
    </w:p>
    <w:p w:rsidR="00DC53F2" w:rsidRDefault="00DC53F2">
      <w:pPr>
        <w:jc w:val="both"/>
        <w:rPr>
          <w:lang w:val="cs-CZ"/>
        </w:rPr>
      </w:pPr>
    </w:p>
    <w:p w:rsidR="005E3E2A" w:rsidRDefault="0000526D">
      <w:pPr>
        <w:jc w:val="both"/>
        <w:rPr>
          <w:lang w:val="cs-CZ"/>
        </w:rPr>
      </w:pPr>
      <w:r>
        <w:rPr>
          <w:lang w:val="cs-CZ"/>
        </w:rPr>
        <w:t>Ministerstvo vnitra – Odbor strukturálních fondů zaslal městu oznámení, že žádost byla schválena podpora z IOP byla městu přidělena. Násled</w:t>
      </w:r>
      <w:r w:rsidR="005E3E2A">
        <w:rPr>
          <w:lang w:val="cs-CZ"/>
        </w:rPr>
        <w:t xml:space="preserve">ně byla </w:t>
      </w:r>
      <w:proofErr w:type="gramStart"/>
      <w:r w:rsidR="005E3E2A">
        <w:rPr>
          <w:lang w:val="cs-CZ"/>
        </w:rPr>
        <w:t>městem  odsouhlasena</w:t>
      </w:r>
      <w:proofErr w:type="gramEnd"/>
      <w:r>
        <w:rPr>
          <w:lang w:val="cs-CZ"/>
        </w:rPr>
        <w:t xml:space="preserve"> výzva k podpisu Podmínek Rozhodnutí o poskytnutí dotace</w:t>
      </w:r>
      <w:r w:rsidR="005E3E2A">
        <w:rPr>
          <w:lang w:val="cs-CZ"/>
        </w:rPr>
        <w:t xml:space="preserve"> a podmínky byly podepsány.</w:t>
      </w:r>
    </w:p>
    <w:p w:rsidR="005E3E2A" w:rsidRDefault="005E3E2A">
      <w:pPr>
        <w:jc w:val="both"/>
        <w:rPr>
          <w:lang w:val="cs-CZ"/>
        </w:rPr>
      </w:pPr>
      <w:r>
        <w:rPr>
          <w:lang w:val="cs-CZ"/>
        </w:rPr>
        <w:t>V červenci 2012 jsme obdrželi dopis ředitelky Řídícího orgánu IOP Ing. Lumíry Kafkové, kterým nám sděl</w:t>
      </w:r>
      <w:r w:rsidR="0032350A">
        <w:rPr>
          <w:lang w:val="cs-CZ"/>
        </w:rPr>
        <w:t>ila informaci, že od 1. 7. 2012 dochází ke změně</w:t>
      </w:r>
      <w:r>
        <w:rPr>
          <w:lang w:val="cs-CZ"/>
        </w:rPr>
        <w:t xml:space="preserve"> </w:t>
      </w:r>
      <w:r w:rsidR="0032350A">
        <w:rPr>
          <w:lang w:val="cs-CZ"/>
        </w:rPr>
        <w:t>delegovaných činností v oblastech intervence 2.1 a 3.4 z Ministerstva vnitra ČR (zprostředkující subjekt IOP) na Ministerstvo pro místní rozvoj ČR (Řídící orgán IOP) a Centrum pro regionální rozvoj ČR.</w:t>
      </w:r>
    </w:p>
    <w:p w:rsidR="0015013D" w:rsidRDefault="0015013D">
      <w:pPr>
        <w:jc w:val="both"/>
        <w:rPr>
          <w:lang w:val="cs-CZ"/>
        </w:rPr>
      </w:pPr>
      <w:r>
        <w:rPr>
          <w:lang w:val="cs-CZ"/>
        </w:rPr>
        <w:t xml:space="preserve">Dalším krokem, který jsme dle pokynů IOP provedli, byla žádost o ukončení platnosti stávajícího Rozhodnutí formou Oznámení o změně, adresovaná na Centrum pro regionální rozvoj ČR. Dne 2. 10. 2012 město Plzeň obdrželo nové Rozhodnutí o poskytnutí dotace vydané Ministerstvem pro místní rozvoj ČR včetně podmínek k tomuto Rozhodnutí o poskytnutí dotace k podpisu. </w:t>
      </w:r>
    </w:p>
    <w:p w:rsidR="005E3E2A" w:rsidRDefault="005E3E2A">
      <w:pPr>
        <w:jc w:val="both"/>
        <w:rPr>
          <w:lang w:val="cs-CZ"/>
        </w:rPr>
      </w:pPr>
    </w:p>
    <w:p w:rsidR="005E3E2A" w:rsidRDefault="005E3E2A">
      <w:pPr>
        <w:jc w:val="both"/>
        <w:rPr>
          <w:lang w:val="cs-CZ"/>
        </w:rPr>
      </w:pPr>
    </w:p>
    <w:p w:rsidR="00DC53F2" w:rsidRDefault="00DC53F2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>3.</w:t>
      </w:r>
      <w:r>
        <w:rPr>
          <w:b/>
          <w:bCs/>
          <w:lang w:val="cs-CZ"/>
        </w:rPr>
        <w:tab/>
        <w:t>Předpokládaný cílový stav</w:t>
      </w:r>
    </w:p>
    <w:p w:rsidR="00DC53F2" w:rsidRDefault="00DC53F2">
      <w:pPr>
        <w:pStyle w:val="Paragrafneeslovan"/>
      </w:pPr>
    </w:p>
    <w:p w:rsidR="00DC53F2" w:rsidRDefault="0000526D" w:rsidP="00C77BB0">
      <w:pPr>
        <w:pStyle w:val="Paragrafneeslovan"/>
      </w:pPr>
      <w:r>
        <w:t>Přijetím dotace v objemu 25 487 250,-- Kč město získá krytí 85 % nákladů daného projektu.</w:t>
      </w:r>
    </w:p>
    <w:p w:rsidR="00E36E21" w:rsidRDefault="0015013D" w:rsidP="00C77BB0">
      <w:pPr>
        <w:pStyle w:val="Paragrafneeslovan"/>
      </w:pPr>
      <w:r>
        <w:t xml:space="preserve">Změnou poskytovatele dotace není příjem dotace ovlivněn, je </w:t>
      </w:r>
      <w:r w:rsidR="00E36E21">
        <w:t>nutno</w:t>
      </w:r>
      <w:r>
        <w:t xml:space="preserve"> </w:t>
      </w:r>
      <w:r w:rsidR="00E36E21">
        <w:t>dořešit administrativní záležitosti, podepsat podmínky k novému Rozhodnutí a zaslat je nastupujícímu poskytovateli dotace, kterým je MMR ČR.</w:t>
      </w:r>
    </w:p>
    <w:p w:rsidR="00E36E21" w:rsidRDefault="00E36E21">
      <w:pPr>
        <w:pStyle w:val="Paragrafneeslovan"/>
      </w:pPr>
    </w:p>
    <w:p w:rsidR="00DC53F2" w:rsidRDefault="00DC53F2">
      <w:pPr>
        <w:pStyle w:val="Paragrafneeslovan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Navrhované varianty řešení</w:t>
      </w:r>
    </w:p>
    <w:p w:rsidR="00DC53F2" w:rsidRDefault="00DC53F2">
      <w:pPr>
        <w:pStyle w:val="vlevo"/>
        <w:keepNext/>
        <w:rPr>
          <w:bCs/>
        </w:rPr>
      </w:pPr>
    </w:p>
    <w:p w:rsidR="00DC53F2" w:rsidRDefault="00DC53F2">
      <w:pPr>
        <w:pStyle w:val="vlevo"/>
        <w:keepNext/>
        <w:rPr>
          <w:bCs/>
        </w:rPr>
      </w:pPr>
      <w:r>
        <w:rPr>
          <w:bCs/>
        </w:rPr>
        <w:t>Není navrhováno variantní řešení.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C53F2" w:rsidRDefault="00DC53F2">
      <w:pPr>
        <w:pStyle w:val="vlevo"/>
        <w:spacing w:before="120"/>
        <w:rPr>
          <w:b/>
        </w:rPr>
      </w:pPr>
    </w:p>
    <w:p w:rsidR="00DC53F2" w:rsidRDefault="00DC53F2">
      <w:pPr>
        <w:pStyle w:val="vlevo"/>
        <w:numPr>
          <w:ilvl w:val="1"/>
          <w:numId w:val="26"/>
        </w:numPr>
        <w:tabs>
          <w:tab w:val="clear" w:pos="1800"/>
          <w:tab w:val="num" w:pos="0"/>
        </w:tabs>
        <w:spacing w:before="120" w:after="120"/>
        <w:ind w:hanging="1800"/>
        <w:rPr>
          <w:b/>
          <w:spacing w:val="22"/>
        </w:rPr>
      </w:pPr>
      <w:r>
        <w:rPr>
          <w:b/>
          <w:spacing w:val="22"/>
        </w:rPr>
        <w:t>Doporučená varianta řešení</w:t>
      </w:r>
    </w:p>
    <w:p w:rsidR="00DC53F2" w:rsidRDefault="00DC53F2">
      <w:pPr>
        <w:pStyle w:val="vlevo"/>
      </w:pPr>
      <w:r>
        <w:t>Viz návrh usnesení.</w:t>
      </w:r>
    </w:p>
    <w:p w:rsidR="00DC53F2" w:rsidRDefault="00DC53F2">
      <w:pPr>
        <w:pStyle w:val="vlevo"/>
      </w:pPr>
    </w:p>
    <w:p w:rsidR="00DC53F2" w:rsidRDefault="00DC53F2">
      <w:pPr>
        <w:pStyle w:val="vlevo"/>
      </w:pPr>
      <w:r>
        <w:rPr>
          <w:b/>
          <w:bCs/>
        </w:rPr>
        <w:t>6</w:t>
      </w:r>
      <w:r>
        <w:t>.</w:t>
      </w:r>
      <w:r>
        <w:tab/>
        <w:t xml:space="preserve"> </w:t>
      </w:r>
      <w:r>
        <w:rPr>
          <w:b/>
          <w:spacing w:val="22"/>
        </w:rPr>
        <w:t>Finanční nároky řešení a možnosti finančního krytí</w:t>
      </w:r>
    </w:p>
    <w:p w:rsidR="00DC53F2" w:rsidRDefault="00DC53F2">
      <w:pPr>
        <w:pStyle w:val="Paragrafneeslovan"/>
        <w:spacing w:before="60" w:after="60"/>
        <w:ind w:left="720" w:hanging="720"/>
        <w:rPr>
          <w:szCs w:val="24"/>
          <w:lang w:eastAsia="en-US"/>
        </w:rPr>
      </w:pPr>
    </w:p>
    <w:p w:rsidR="00DC53F2" w:rsidRDefault="00974513">
      <w:pPr>
        <w:pStyle w:val="vlevo"/>
        <w:spacing w:before="120"/>
        <w:rPr>
          <w:szCs w:val="24"/>
          <w:lang w:eastAsia="en-US"/>
        </w:rPr>
      </w:pPr>
      <w:r>
        <w:rPr>
          <w:szCs w:val="24"/>
          <w:lang w:eastAsia="en-US"/>
        </w:rPr>
        <w:t xml:space="preserve">Celkové náklady </w:t>
      </w:r>
      <w:r w:rsidR="00197B96">
        <w:rPr>
          <w:szCs w:val="24"/>
          <w:lang w:eastAsia="en-US"/>
        </w:rPr>
        <w:t>projektu p</w:t>
      </w:r>
      <w:r>
        <w:rPr>
          <w:szCs w:val="24"/>
          <w:lang w:eastAsia="en-US"/>
        </w:rPr>
        <w:t>o provedené změně</w:t>
      </w:r>
      <w:r w:rsidR="00197B96">
        <w:rPr>
          <w:szCs w:val="24"/>
          <w:lang w:eastAsia="en-US"/>
        </w:rPr>
        <w:t xml:space="preserve"> představují částku cca </w:t>
      </w:r>
      <w:smartTag w:uri="urn:schemas-microsoft-com:office:smarttags" w:element="metricconverter">
        <w:smartTagPr>
          <w:attr w:name="ProductID" w:val="30 mil"/>
        </w:smartTagPr>
        <w:r w:rsidR="00197B96">
          <w:rPr>
            <w:szCs w:val="24"/>
            <w:lang w:eastAsia="en-US"/>
          </w:rPr>
          <w:t>30 mil</w:t>
        </w:r>
      </w:smartTag>
      <w:r w:rsidR="00197B96">
        <w:rPr>
          <w:szCs w:val="24"/>
          <w:lang w:eastAsia="en-US"/>
        </w:rPr>
        <w:t xml:space="preserve">. Kč. Projekt bude předfinancován z rozpočtu města – Fondu pro kofinancování dotovaných projektů, neboť k výplatě dotace dojde až po jeho ukončení. Podpora v rámci IOP představuje 85 % celkových i celkových způsobilých nákladů projektu, </w:t>
      </w:r>
      <w:proofErr w:type="gramStart"/>
      <w:r w:rsidR="00197B96">
        <w:rPr>
          <w:szCs w:val="24"/>
          <w:lang w:eastAsia="en-US"/>
        </w:rPr>
        <w:t xml:space="preserve">t. j. </w:t>
      </w:r>
      <w:smartTag w:uri="urn:schemas-microsoft-com:office:smarttags" w:element="metricconverter">
        <w:smartTagPr>
          <w:attr w:name="ProductID" w:val="25,5 mil"/>
        </w:smartTagPr>
        <w:r w:rsidR="00197B96">
          <w:rPr>
            <w:szCs w:val="24"/>
            <w:lang w:eastAsia="en-US"/>
          </w:rPr>
          <w:t>25,5</w:t>
        </w:r>
        <w:proofErr w:type="gramEnd"/>
        <w:r w:rsidR="00197B96">
          <w:rPr>
            <w:szCs w:val="24"/>
            <w:lang w:eastAsia="en-US"/>
          </w:rPr>
          <w:t xml:space="preserve"> mil</w:t>
        </w:r>
      </w:smartTag>
      <w:r w:rsidR="00197B96">
        <w:rPr>
          <w:szCs w:val="24"/>
          <w:lang w:eastAsia="en-US"/>
        </w:rPr>
        <w:t xml:space="preserve">. Kč. Povinný podíl žadatele v objemu 15 % nákladů, </w:t>
      </w:r>
      <w:proofErr w:type="gramStart"/>
      <w:r w:rsidR="00197B96">
        <w:rPr>
          <w:szCs w:val="24"/>
          <w:lang w:eastAsia="en-US"/>
        </w:rPr>
        <w:t>t. j. cca</w:t>
      </w:r>
      <w:proofErr w:type="gramEnd"/>
      <w:r w:rsidR="00197B96">
        <w:rPr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,5 mil"/>
        </w:smartTagPr>
        <w:r w:rsidR="00197B96">
          <w:rPr>
            <w:szCs w:val="24"/>
            <w:lang w:eastAsia="en-US"/>
          </w:rPr>
          <w:t>4,5 mil</w:t>
        </w:r>
      </w:smartTag>
      <w:r w:rsidR="00197B96">
        <w:rPr>
          <w:szCs w:val="24"/>
          <w:lang w:eastAsia="en-US"/>
        </w:rPr>
        <w:t xml:space="preserve">. Kč bude hrazen z rozpočtu města. </w:t>
      </w:r>
    </w:p>
    <w:p w:rsidR="00197B96" w:rsidRDefault="00197B96">
      <w:pPr>
        <w:pStyle w:val="vlevo"/>
        <w:spacing w:before="120"/>
      </w:pPr>
    </w:p>
    <w:p w:rsidR="00DC53F2" w:rsidRDefault="00DC53F2">
      <w:pPr>
        <w:pStyle w:val="vlevo"/>
        <w:spacing w:before="120"/>
        <w:ind w:left="720" w:hanging="720"/>
        <w:rPr>
          <w:b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spacing w:val="22"/>
        </w:rPr>
        <w:t>Dříve přijatá usnesení orgánů města nebo městských obvodů, která s tímto návrhem souvisejí</w:t>
      </w:r>
    </w:p>
    <w:p w:rsidR="00DC53F2" w:rsidRDefault="00DC53F2">
      <w:pPr>
        <w:pStyle w:val="vlevo"/>
        <w:rPr>
          <w:snapToGrid w:val="0"/>
        </w:rPr>
      </w:pPr>
    </w:p>
    <w:p w:rsidR="00DC53F2" w:rsidRDefault="00197B96">
      <w:pPr>
        <w:pStyle w:val="vlevo"/>
        <w:spacing w:before="120"/>
        <w:rPr>
          <w:bCs/>
        </w:rPr>
      </w:pPr>
      <w:r>
        <w:rPr>
          <w:bCs/>
        </w:rPr>
        <w:t>RMP č. 1255 ze dne 16. 9. 2010, ZMP č. 408 ze dne 16. 9. 2010</w:t>
      </w:r>
    </w:p>
    <w:p w:rsidR="00197B96" w:rsidRDefault="00197B96">
      <w:pPr>
        <w:pStyle w:val="vlevo"/>
        <w:spacing w:before="120"/>
        <w:rPr>
          <w:bCs/>
        </w:rPr>
      </w:pPr>
      <w:r>
        <w:rPr>
          <w:bCs/>
        </w:rPr>
        <w:t>RMP č. 860 ze dne 16. 6. 2011, ZMP č. 372 ze dne 16. 6. 2011</w:t>
      </w:r>
    </w:p>
    <w:p w:rsidR="00E36E21" w:rsidRDefault="00E36E21">
      <w:pPr>
        <w:pStyle w:val="vlevo"/>
        <w:spacing w:before="120"/>
        <w:rPr>
          <w:bCs/>
        </w:rPr>
      </w:pPr>
      <w:r>
        <w:rPr>
          <w:bCs/>
        </w:rPr>
        <w:t>RMP č. 1195 ze dne 21. 9. 2011, ZMP č. 499 ze dne 6. 10. 2011</w:t>
      </w:r>
    </w:p>
    <w:p w:rsidR="00E36E21" w:rsidRDefault="00E36E21">
      <w:pPr>
        <w:pStyle w:val="vlevo"/>
        <w:spacing w:before="120"/>
        <w:rPr>
          <w:bCs/>
        </w:rPr>
      </w:pPr>
    </w:p>
    <w:p w:rsidR="00DC53F2" w:rsidRDefault="00DC53F2">
      <w:pPr>
        <w:pStyle w:val="vlevo"/>
        <w:spacing w:before="120"/>
        <w:rPr>
          <w:b/>
        </w:rPr>
      </w:pPr>
      <w:r>
        <w:rPr>
          <w:b/>
        </w:rPr>
        <w:t>9.</w:t>
      </w:r>
      <w:r>
        <w:rPr>
          <w:bCs/>
        </w:rPr>
        <w:tab/>
      </w:r>
      <w:r>
        <w:rPr>
          <w:b/>
          <w:spacing w:val="22"/>
        </w:rPr>
        <w:t>Závazky či pohledávky vůči městu Plzni</w:t>
      </w:r>
      <w:r>
        <w:rPr>
          <w:b/>
        </w:rPr>
        <w:t xml:space="preserve"> </w:t>
      </w:r>
    </w:p>
    <w:p w:rsidR="00DC53F2" w:rsidRDefault="00DC53F2">
      <w:pPr>
        <w:pStyle w:val="Zkladntext"/>
        <w:spacing w:before="120"/>
        <w:jc w:val="both"/>
        <w:rPr>
          <w:bCs/>
          <w:sz w:val="24"/>
        </w:rPr>
      </w:pPr>
      <w:r>
        <w:rPr>
          <w:bCs/>
          <w:sz w:val="24"/>
        </w:rPr>
        <w:t>Po dobu realizace projektu a jeho udržitelnosti</w:t>
      </w:r>
      <w:r w:rsidR="00C77BB0">
        <w:rPr>
          <w:bCs/>
          <w:sz w:val="24"/>
        </w:rPr>
        <w:t>, tj. po dobu 5 let ode dne ukončení realizace projektu,</w:t>
      </w:r>
      <w:r>
        <w:rPr>
          <w:bCs/>
          <w:sz w:val="24"/>
        </w:rPr>
        <w:t xml:space="preserve"> nesmí příjemce majetek získaný byť i částečně z dotace bez předchozího písemného souhlasu </w:t>
      </w:r>
      <w:r w:rsidR="00AB377B">
        <w:rPr>
          <w:bCs/>
          <w:sz w:val="24"/>
        </w:rPr>
        <w:t>ŘO IOP prodat,</w:t>
      </w:r>
      <w:r>
        <w:rPr>
          <w:bCs/>
          <w:sz w:val="24"/>
        </w:rPr>
        <w:t xml:space="preserve"> převést, vypůjčit či pronajmout jinému subjektu. </w:t>
      </w:r>
      <w:r w:rsidR="00AB377B">
        <w:rPr>
          <w:bCs/>
          <w:sz w:val="24"/>
        </w:rPr>
        <w:t>Zřídit z</w:t>
      </w:r>
      <w:r>
        <w:rPr>
          <w:bCs/>
          <w:sz w:val="24"/>
        </w:rPr>
        <w:t xml:space="preserve">ástavní právo </w:t>
      </w:r>
      <w:r w:rsidR="00AB377B">
        <w:rPr>
          <w:bCs/>
          <w:sz w:val="24"/>
        </w:rPr>
        <w:t>nebo zatížit majetek jinými věcnými právy třetích osob je možné</w:t>
      </w:r>
      <w:r>
        <w:rPr>
          <w:bCs/>
          <w:sz w:val="24"/>
        </w:rPr>
        <w:t xml:space="preserve"> </w:t>
      </w:r>
      <w:bookmarkStart w:id="0" w:name="_GoBack"/>
      <w:bookmarkEnd w:id="0"/>
      <w:r>
        <w:rPr>
          <w:bCs/>
          <w:sz w:val="24"/>
        </w:rPr>
        <w:t xml:space="preserve">pouze </w:t>
      </w:r>
      <w:r w:rsidR="00E36E21">
        <w:rPr>
          <w:bCs/>
          <w:sz w:val="24"/>
        </w:rPr>
        <w:t>s předchozím písemným souhlasem ŘO IOP.</w:t>
      </w:r>
    </w:p>
    <w:p w:rsidR="00DC53F2" w:rsidRDefault="00DC53F2">
      <w:pPr>
        <w:pStyle w:val="vlevo"/>
        <w:spacing w:before="120"/>
        <w:rPr>
          <w:b/>
          <w:spacing w:val="22"/>
        </w:rPr>
      </w:pPr>
    </w:p>
    <w:p w:rsidR="00DC53F2" w:rsidRDefault="00E36E21">
      <w:pPr>
        <w:pStyle w:val="vlevo"/>
        <w:spacing w:before="120"/>
      </w:pPr>
      <w:r w:rsidRPr="00E36E21">
        <w:rPr>
          <w:u w:val="single"/>
        </w:rPr>
        <w:t>Příloha č. 1:</w:t>
      </w:r>
      <w:r>
        <w:tab/>
        <w:t>Dopis ředitelky ŘO IOP</w:t>
      </w:r>
    </w:p>
    <w:p w:rsidR="00DC53F2" w:rsidRDefault="00DC53F2">
      <w:pPr>
        <w:pStyle w:val="vlevo"/>
        <w:outlineLvl w:val="0"/>
      </w:pPr>
      <w:r>
        <w:rPr>
          <w:u w:val="single"/>
        </w:rPr>
        <w:t>Příloha č.</w:t>
      </w:r>
      <w:r w:rsidR="00E36E21">
        <w:rPr>
          <w:u w:val="single"/>
        </w:rPr>
        <w:t xml:space="preserve"> 2</w:t>
      </w:r>
      <w:r>
        <w:rPr>
          <w:u w:val="single"/>
        </w:rPr>
        <w:t>:</w:t>
      </w:r>
      <w:r w:rsidR="00E36E21">
        <w:tab/>
      </w:r>
      <w:r>
        <w:t>Podmínky rozhodnutí o poskytnutí dotace</w:t>
      </w:r>
    </w:p>
    <w:p w:rsidR="00DC53F2" w:rsidRDefault="00DC53F2">
      <w:pPr>
        <w:pStyle w:val="vlevo"/>
      </w:pPr>
    </w:p>
    <w:p w:rsidR="00DC53F2" w:rsidRDefault="00DC53F2">
      <w:pPr>
        <w:pStyle w:val="vlevo"/>
      </w:pPr>
    </w:p>
    <w:sectPr w:rsidR="00DC53F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5F" w:rsidRDefault="00974C5F">
      <w:r>
        <w:separator/>
      </w:r>
    </w:p>
  </w:endnote>
  <w:endnote w:type="continuationSeparator" w:id="0">
    <w:p w:rsidR="00974C5F" w:rsidRDefault="0097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3D" w:rsidRDefault="0015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013D" w:rsidRDefault="001501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3D" w:rsidRDefault="0015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77B">
      <w:rPr>
        <w:rStyle w:val="slostrnky"/>
        <w:noProof/>
      </w:rPr>
      <w:t>2</w:t>
    </w:r>
    <w:r>
      <w:rPr>
        <w:rStyle w:val="slostrnky"/>
      </w:rPr>
      <w:fldChar w:fldCharType="end"/>
    </w:r>
  </w:p>
  <w:p w:rsidR="0015013D" w:rsidRDefault="001501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5F" w:rsidRDefault="00974C5F">
      <w:r>
        <w:separator/>
      </w:r>
    </w:p>
  </w:footnote>
  <w:footnote w:type="continuationSeparator" w:id="0">
    <w:p w:rsidR="00974C5F" w:rsidRDefault="0097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161"/>
    <w:multiLevelType w:val="hybridMultilevel"/>
    <w:tmpl w:val="5C14E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2BC"/>
    <w:multiLevelType w:val="singleLevel"/>
    <w:tmpl w:val="8120476A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11175B19"/>
    <w:multiLevelType w:val="hybridMultilevel"/>
    <w:tmpl w:val="35B6D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E23B5"/>
    <w:multiLevelType w:val="hybridMultilevel"/>
    <w:tmpl w:val="E6A26E1E"/>
    <w:lvl w:ilvl="0" w:tplc="5DA29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20CC"/>
    <w:multiLevelType w:val="hybridMultilevel"/>
    <w:tmpl w:val="C1987D78"/>
    <w:lvl w:ilvl="0" w:tplc="5DA29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27829"/>
    <w:multiLevelType w:val="hybridMultilevel"/>
    <w:tmpl w:val="A664E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7EC"/>
    <w:multiLevelType w:val="hybridMultilevel"/>
    <w:tmpl w:val="F13C0DB2"/>
    <w:lvl w:ilvl="0" w:tplc="CE58C2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36C33"/>
    <w:multiLevelType w:val="hybridMultilevel"/>
    <w:tmpl w:val="710E8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47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A2535"/>
    <w:multiLevelType w:val="hybridMultilevel"/>
    <w:tmpl w:val="7D2EB5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E074C"/>
    <w:multiLevelType w:val="hybridMultilevel"/>
    <w:tmpl w:val="AD4244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6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90464"/>
    <w:multiLevelType w:val="multilevel"/>
    <w:tmpl w:val="0FDCC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2703D"/>
    <w:multiLevelType w:val="hybridMultilevel"/>
    <w:tmpl w:val="FF342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EE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F084C"/>
    <w:multiLevelType w:val="hybridMultilevel"/>
    <w:tmpl w:val="F356B9E2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85B7A"/>
    <w:multiLevelType w:val="multilevel"/>
    <w:tmpl w:val="EE1C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E55FB"/>
    <w:multiLevelType w:val="hybridMultilevel"/>
    <w:tmpl w:val="80B2C1B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174D8B"/>
    <w:multiLevelType w:val="hybridMultilevel"/>
    <w:tmpl w:val="4808D6BA"/>
    <w:lvl w:ilvl="0" w:tplc="FFAAD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1316D"/>
    <w:multiLevelType w:val="hybridMultilevel"/>
    <w:tmpl w:val="903AA9A6"/>
    <w:lvl w:ilvl="0" w:tplc="3D3A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D22AA"/>
    <w:multiLevelType w:val="hybridMultilevel"/>
    <w:tmpl w:val="167E68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8E8E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54AF5"/>
    <w:multiLevelType w:val="hybridMultilevel"/>
    <w:tmpl w:val="3D32355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8EF41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F4747E"/>
    <w:multiLevelType w:val="hybridMultilevel"/>
    <w:tmpl w:val="35BA8FC0"/>
    <w:lvl w:ilvl="0" w:tplc="08DE950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A562EAA"/>
    <w:multiLevelType w:val="hybridMultilevel"/>
    <w:tmpl w:val="FBD49E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D49A6"/>
    <w:multiLevelType w:val="hybridMultilevel"/>
    <w:tmpl w:val="C1DA4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771EB1"/>
    <w:multiLevelType w:val="hybridMultilevel"/>
    <w:tmpl w:val="BB705E82"/>
    <w:lvl w:ilvl="0" w:tplc="A8020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1163F"/>
    <w:multiLevelType w:val="hybridMultilevel"/>
    <w:tmpl w:val="22906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0CCB"/>
    <w:multiLevelType w:val="hybridMultilevel"/>
    <w:tmpl w:val="0A14256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E28B8"/>
    <w:multiLevelType w:val="hybridMultilevel"/>
    <w:tmpl w:val="43A6A292"/>
    <w:lvl w:ilvl="0" w:tplc="BE16E6A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9"/>
  </w:num>
  <w:num w:numId="6">
    <w:abstractNumId w:val="9"/>
  </w:num>
  <w:num w:numId="7">
    <w:abstractNumId w:val="21"/>
  </w:num>
  <w:num w:numId="8">
    <w:abstractNumId w:val="8"/>
  </w:num>
  <w:num w:numId="9">
    <w:abstractNumId w:val="10"/>
    <w:lvlOverride w:ilvl="0">
      <w:startOverride w:val="2"/>
    </w:lvlOverride>
  </w:num>
  <w:num w:numId="10">
    <w:abstractNumId w:val="20"/>
  </w:num>
  <w:num w:numId="11">
    <w:abstractNumId w:val="17"/>
  </w:num>
  <w:num w:numId="12">
    <w:abstractNumId w:val="6"/>
  </w:num>
  <w:num w:numId="13">
    <w:abstractNumId w:val="24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25"/>
  </w:num>
  <w:num w:numId="19">
    <w:abstractNumId w:val="14"/>
  </w:num>
  <w:num w:numId="20">
    <w:abstractNumId w:val="7"/>
  </w:num>
  <w:num w:numId="21">
    <w:abstractNumId w:val="15"/>
  </w:num>
  <w:num w:numId="22">
    <w:abstractNumId w:val="5"/>
  </w:num>
  <w:num w:numId="23">
    <w:abstractNumId w:val="23"/>
  </w:num>
  <w:num w:numId="24">
    <w:abstractNumId w:val="3"/>
  </w:num>
  <w:num w:numId="25">
    <w:abstractNumId w:val="4"/>
  </w:num>
  <w:num w:numId="26">
    <w:abstractNumId w:val="18"/>
  </w:num>
  <w:num w:numId="27">
    <w:abstractNumId w:val="11"/>
  </w:num>
  <w:num w:numId="28">
    <w:abstractNumId w:val="16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97"/>
    <w:rsid w:val="0000526D"/>
    <w:rsid w:val="0015013D"/>
    <w:rsid w:val="00197B96"/>
    <w:rsid w:val="001F072B"/>
    <w:rsid w:val="0032350A"/>
    <w:rsid w:val="00483B20"/>
    <w:rsid w:val="005E3E2A"/>
    <w:rsid w:val="0063639B"/>
    <w:rsid w:val="00643A96"/>
    <w:rsid w:val="00974513"/>
    <w:rsid w:val="00974C5F"/>
    <w:rsid w:val="00A8393E"/>
    <w:rsid w:val="00A83997"/>
    <w:rsid w:val="00AB377B"/>
    <w:rsid w:val="00C77BB0"/>
    <w:rsid w:val="00DC53F2"/>
    <w:rsid w:val="00E36E21"/>
    <w:rsid w:val="00E418F3"/>
    <w:rsid w:val="00F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jc w:val="both"/>
      <w:outlineLvl w:val="0"/>
    </w:pPr>
    <w:rPr>
      <w:b/>
      <w:bCs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u w:val="single"/>
      <w:lang w:val="cs-CZ" w:eastAsia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lang w:val="cs-CZ"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lang w:val="cs-CZ"/>
    </w:rPr>
  </w:style>
  <w:style w:type="paragraph" w:styleId="Nadpis5">
    <w:name w:val="heading 5"/>
    <w:basedOn w:val="Normln"/>
    <w:next w:val="Normln"/>
    <w:qFormat/>
    <w:pPr>
      <w:keepNext/>
      <w:spacing w:after="120"/>
      <w:outlineLvl w:val="4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  <w:lang w:val="cs-CZ" w:eastAsia="cs-CZ"/>
    </w:rPr>
  </w:style>
  <w:style w:type="paragraph" w:customStyle="1" w:styleId="vlevo">
    <w:name w:val="vlevo"/>
    <w:basedOn w:val="Normln"/>
    <w:pPr>
      <w:jc w:val="both"/>
    </w:pPr>
    <w:rPr>
      <w:szCs w:val="20"/>
      <w:lang w:val="cs-CZ" w:eastAsia="cs-CZ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  <w:lang w:val="cs-CZ" w:eastAsia="cs-CZ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  <w:lang w:val="cs-CZ" w:eastAsia="cs-CZ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  <w:lang w:val="cs-CZ" w:eastAsia="cs-CZ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8"/>
      <w:lang w:val="cs-CZ" w:eastAsia="cs-CZ"/>
    </w:rPr>
  </w:style>
  <w:style w:type="paragraph" w:customStyle="1" w:styleId="NormalWeb2">
    <w:name w:val="Normal (Web)2"/>
    <w:basedOn w:val="Normln"/>
    <w:pPr>
      <w:spacing w:before="100" w:beforeAutospacing="1" w:after="100" w:afterAutospacing="1"/>
      <w:jc w:val="both"/>
    </w:pPr>
    <w:rPr>
      <w:snapToGrid w:val="0"/>
      <w:lang w:val="en-GB" w:eastAsia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080"/>
    </w:pPr>
    <w:rPr>
      <w:lang w:val="cs-CZ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val="en-US"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KNormal">
    <w:name w:val="PK_Normal"/>
    <w:basedOn w:val="Normln"/>
    <w:p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jc w:val="both"/>
      <w:outlineLvl w:val="0"/>
    </w:pPr>
    <w:rPr>
      <w:b/>
      <w:bCs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u w:val="single"/>
      <w:lang w:val="cs-CZ" w:eastAsia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lang w:val="cs-CZ"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lang w:val="cs-CZ"/>
    </w:rPr>
  </w:style>
  <w:style w:type="paragraph" w:styleId="Nadpis5">
    <w:name w:val="heading 5"/>
    <w:basedOn w:val="Normln"/>
    <w:next w:val="Normln"/>
    <w:qFormat/>
    <w:pPr>
      <w:keepNext/>
      <w:spacing w:after="120"/>
      <w:outlineLvl w:val="4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  <w:lang w:val="cs-CZ" w:eastAsia="cs-CZ"/>
    </w:rPr>
  </w:style>
  <w:style w:type="paragraph" w:customStyle="1" w:styleId="vlevo">
    <w:name w:val="vlevo"/>
    <w:basedOn w:val="Normln"/>
    <w:pPr>
      <w:jc w:val="both"/>
    </w:pPr>
    <w:rPr>
      <w:szCs w:val="20"/>
      <w:lang w:val="cs-CZ" w:eastAsia="cs-CZ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  <w:lang w:val="cs-CZ" w:eastAsia="cs-CZ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  <w:lang w:val="cs-CZ" w:eastAsia="cs-CZ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  <w:lang w:val="cs-CZ" w:eastAsia="cs-CZ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8"/>
      <w:lang w:val="cs-CZ" w:eastAsia="cs-CZ"/>
    </w:rPr>
  </w:style>
  <w:style w:type="paragraph" w:customStyle="1" w:styleId="NormalWeb2">
    <w:name w:val="Normal (Web)2"/>
    <w:basedOn w:val="Normln"/>
    <w:pPr>
      <w:spacing w:before="100" w:beforeAutospacing="1" w:after="100" w:afterAutospacing="1"/>
      <w:jc w:val="both"/>
    </w:pPr>
    <w:rPr>
      <w:snapToGrid w:val="0"/>
      <w:lang w:val="en-GB" w:eastAsia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080"/>
    </w:pPr>
    <w:rPr>
      <w:lang w:val="cs-CZ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val="en-US"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KNormal">
    <w:name w:val="PK_Normal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Petr Pelcl</dc:creator>
  <cp:keywords/>
  <cp:lastModifiedBy>Vopatová Marie</cp:lastModifiedBy>
  <cp:revision>3</cp:revision>
  <cp:lastPrinted>2012-10-29T09:40:00Z</cp:lastPrinted>
  <dcterms:created xsi:type="dcterms:W3CDTF">2012-10-29T09:41:00Z</dcterms:created>
  <dcterms:modified xsi:type="dcterms:W3CDTF">2012-10-29T12:40:00Z</dcterms:modified>
</cp:coreProperties>
</file>