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2" w:rsidRDefault="00444D02" w:rsidP="00444D02">
      <w:pPr>
        <w:pStyle w:val="nadpcent"/>
      </w:pPr>
      <w:r>
        <w:t>Důvodová zpráva</w:t>
      </w:r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Název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problému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charakteristika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r>
        <w:tab/>
        <w:t xml:space="preserve">Bezúplatný převod spoluvlastnického podílu 1/120 k celku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1899/9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Bručná</w:t>
      </w:r>
      <w:proofErr w:type="spellEnd"/>
      <w:r>
        <w:t>, z vlastnictví České republiky – Úřadu pro zastupování státu ve věcech majetkových, do majetku města Plzně.</w:t>
      </w:r>
    </w:p>
    <w:p w:rsidR="00444D02" w:rsidRPr="00084E6E" w:rsidRDefault="00444D02" w:rsidP="00444D02">
      <w:pPr>
        <w:pStyle w:val="ostzahl"/>
        <w:rPr>
          <w:lang w:val="en-AU"/>
        </w:rPr>
      </w:pPr>
      <w:proofErr w:type="spellStart"/>
      <w:r w:rsidRPr="00084E6E">
        <w:rPr>
          <w:lang w:val="en-AU"/>
        </w:rPr>
        <w:t>Konstatování</w:t>
      </w:r>
      <w:proofErr w:type="spellEnd"/>
      <w:r w:rsidRPr="00084E6E">
        <w:rPr>
          <w:lang w:val="en-AU"/>
        </w:rPr>
        <w:t xml:space="preserve"> </w:t>
      </w:r>
      <w:proofErr w:type="spellStart"/>
      <w:r w:rsidRPr="00084E6E">
        <w:rPr>
          <w:lang w:val="en-AU"/>
        </w:rPr>
        <w:t>současného</w:t>
      </w:r>
      <w:proofErr w:type="spellEnd"/>
      <w:r w:rsidRPr="00084E6E">
        <w:rPr>
          <w:lang w:val="en-AU"/>
        </w:rPr>
        <w:t xml:space="preserve"> </w:t>
      </w:r>
      <w:proofErr w:type="spellStart"/>
      <w:r w:rsidRPr="00084E6E">
        <w:rPr>
          <w:lang w:val="en-AU"/>
        </w:rPr>
        <w:t>stavu</w:t>
      </w:r>
      <w:proofErr w:type="spellEnd"/>
      <w:r w:rsidRPr="00084E6E">
        <w:rPr>
          <w:lang w:val="en-AU"/>
        </w:rPr>
        <w:t xml:space="preserve"> a </w:t>
      </w:r>
      <w:proofErr w:type="spellStart"/>
      <w:r w:rsidRPr="00084E6E">
        <w:rPr>
          <w:lang w:val="en-AU"/>
        </w:rPr>
        <w:t>jeho</w:t>
      </w:r>
      <w:proofErr w:type="spellEnd"/>
      <w:r w:rsidRPr="00084E6E">
        <w:rPr>
          <w:lang w:val="en-AU"/>
        </w:rPr>
        <w:t xml:space="preserve"> </w:t>
      </w:r>
      <w:proofErr w:type="spellStart"/>
      <w:r w:rsidRPr="00084E6E">
        <w:rPr>
          <w:lang w:val="en-AU"/>
        </w:rPr>
        <w:t>analýza</w:t>
      </w:r>
      <w:proofErr w:type="spellEnd"/>
    </w:p>
    <w:p w:rsidR="00444D02" w:rsidRPr="00084E6E" w:rsidRDefault="00444D02" w:rsidP="00444D02">
      <w:r w:rsidRPr="00084E6E">
        <w:tab/>
        <w:t xml:space="preserve">Česká republika je vlastníkem, Úřad pro zastupování státu ve věcech majetkových je příslušný hospodařit s podílem 1/120 k celku pozemku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o celkové výměře 30 m</w:t>
      </w:r>
      <w:r w:rsidRPr="00084E6E">
        <w:rPr>
          <w:vertAlign w:val="superscript"/>
        </w:rPr>
        <w:t>2</w:t>
      </w:r>
      <w:r w:rsidRPr="00084E6E">
        <w:t xml:space="preserve">,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>, obec Plzeň. Vzhledem k faktu, že dle výpisu z katastru nemovitostí se jedná o druh pozemku ostatní plocha, způsob využití ostatní komunikace, požádal ÚZSVM o prošetření, zda se jedná o součást komunikace, kterou spravuje město Plzeň a zda je možné jednat o převodu předmětného podílu ze státu na město Plzeň.</w:t>
      </w:r>
    </w:p>
    <w:p w:rsidR="00444D02" w:rsidRPr="00084E6E" w:rsidRDefault="00444D02" w:rsidP="00444D02">
      <w:r w:rsidRPr="00084E6E">
        <w:tab/>
        <w:t xml:space="preserve">Dle výpisu z katastru nemovitostí dále vyplývá, že město Plzeň je spoluvlastníkem 53/60 k celku na pozemku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. Dalšími spoluvlastníky jsou FO, jejich spoluvlastnický podíl činí dohromady 1/10 k celku na předmětném pozemku. Rovněž z výpisu z katastru nemovitostí vyplývá, že pozemek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 je zatížen věcným břemenem chůze a jízdy, oprávnění pro parcelu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1399/8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>. V případě nabytí spoluvlastnického podílu státu do majetku města Plzně, přechází na město Plzeň i toto věcné břemeno (fakticky již přešlo, neboť město je spoluvlastníkem 53/60 k celku na předmětném pozemku.</w:t>
      </w:r>
    </w:p>
    <w:p w:rsidR="00444D02" w:rsidRPr="00084E6E" w:rsidRDefault="00444D02" w:rsidP="00444D02">
      <w:r w:rsidRPr="00084E6E">
        <w:t xml:space="preserve">Správa veřejného statku města Plzně sdělila na dotaz Odboru nabývání majetku MMP, že na uvedeném pozemku evidují místní komunikaci II. tř. Písecká, označení úseku B 3902. Na pozemku se nachází komunikace Písecká i přilehlý chodník. </w:t>
      </w:r>
    </w:p>
    <w:p w:rsidR="00444D02" w:rsidRPr="00084E6E" w:rsidRDefault="00444D02" w:rsidP="00444D02">
      <w:r w:rsidRPr="00084E6E">
        <w:t>Vzhledem k tomuto faktu, že na pozemku se nachází místní komunikace ve vlastnictví města Plzně, ve správě SVSMP, lze realizovat bezúplatný převod spoluvlastnického podílu státu na město Plzeň bez omezujících podmínek a bez schválení Ministerstva financí.</w:t>
      </w:r>
    </w:p>
    <w:p w:rsidR="00444D02" w:rsidRPr="00084E6E" w:rsidRDefault="00444D02" w:rsidP="00444D02">
      <w:r>
        <w:tab/>
      </w:r>
      <w:r w:rsidRPr="00084E6E">
        <w:t xml:space="preserve">Technický úřad MMP svým souhrnným stanoviskem </w:t>
      </w:r>
      <w:proofErr w:type="gramStart"/>
      <w:r w:rsidRPr="00084E6E">
        <w:t>č.j.</w:t>
      </w:r>
      <w:proofErr w:type="gramEnd"/>
      <w:r w:rsidRPr="00084E6E">
        <w:t xml:space="preserve"> MMP/166677/12 ze dne 20. 9. 2012 souhlasí s bezúplatným převodem podílu 1/120 k celku pozemku </w:t>
      </w:r>
      <w:proofErr w:type="spellStart"/>
      <w:r w:rsidRPr="00084E6E">
        <w:t>parc</w:t>
      </w:r>
      <w:proofErr w:type="spellEnd"/>
      <w:r w:rsidRPr="00084E6E">
        <w:t xml:space="preserve">. č.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 do majetku města Plzně. Získaný pozemek doporučuje TÚ MMP svěřit do správy SVSMP.</w:t>
      </w:r>
    </w:p>
    <w:p w:rsidR="00444D02" w:rsidRPr="00084E6E" w:rsidRDefault="00444D02" w:rsidP="00444D02">
      <w:r>
        <w:tab/>
      </w:r>
      <w:r w:rsidRPr="00084E6E">
        <w:t>Na předmětném pozemku se nachází kanalizační stoka DN 1200 v majetku města Plzně ve správě OSI MMP a dále je na uvedeném pozemku plánovaná městem Plzní veřejně prospěšná stavba „Provozní (havarijní) propojení ČS Úhlavská se zásobním řadem Ostrá Hůrka.“</w:t>
      </w:r>
    </w:p>
    <w:p w:rsidR="00444D02" w:rsidRPr="00084E6E" w:rsidRDefault="00444D02" w:rsidP="00444D02">
      <w:r>
        <w:tab/>
      </w:r>
      <w:r w:rsidRPr="00084E6E">
        <w:t>Komise Rady městského obvodu Plzeň 2 – Slovany pro nakládání s majetkem na svém zasedání dne 10. 10. 2012 vyslovila souhlas se získáním spoluvlastnického podílu státu do majetku města Plzně.</w:t>
      </w:r>
    </w:p>
    <w:p w:rsidR="00444D02" w:rsidRPr="00084E6E" w:rsidRDefault="00444D02" w:rsidP="00444D02">
      <w:r>
        <w:tab/>
      </w:r>
      <w:r w:rsidRPr="00084E6E">
        <w:t xml:space="preserve">Vzhledem k faktu, že na pozemku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 se nachází místní komunikace II. tř. Písecká, Odbor nabývání majetku MMP se domnívá, že je vhodné zahájit jednání s dalšími spoluvlastníky o získání jejich spoluvlastnických podílů do majetku města Plzně.</w:t>
      </w:r>
    </w:p>
    <w:p w:rsidR="00444D02" w:rsidRDefault="00444D02" w:rsidP="00444D02">
      <w:r>
        <w:tab/>
      </w:r>
      <w:r w:rsidRPr="00084E6E">
        <w:t xml:space="preserve">Dalším šetřením bylo zjištěno, že jednotlivé spoluvlastnické podíly FO na předmětném pozemku vykupuje společnost VGP CZ VIII., s.r.o. (dále jen VGP) </w:t>
      </w:r>
    </w:p>
    <w:p w:rsidR="00444D02" w:rsidRDefault="00444D02" w:rsidP="00444D02"/>
    <w:p w:rsidR="00444D02" w:rsidRPr="00084E6E" w:rsidRDefault="00444D02" w:rsidP="00444D02">
      <w:r w:rsidRPr="00084E6E">
        <w:t xml:space="preserve">K dnešnímu dni tj. k 22. 10. 2012 je tato společnost spoluvlastníkem 5/120 k celku na pozemku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. Šetřením u zástupce společnosti VGP bylo zjištěno, že v rámci jejich podnikatelského záměru, který realizují v dané lokalitě, bude v pozemku </w:t>
      </w:r>
      <w:proofErr w:type="spellStart"/>
      <w:r w:rsidRPr="00084E6E">
        <w:t>parc</w:t>
      </w:r>
      <w:proofErr w:type="spellEnd"/>
      <w:r w:rsidRPr="00084E6E">
        <w:t xml:space="preserve">. </w:t>
      </w:r>
      <w:proofErr w:type="gramStart"/>
      <w:r w:rsidRPr="00084E6E">
        <w:t>č.</w:t>
      </w:r>
      <w:proofErr w:type="gramEnd"/>
      <w:r w:rsidRPr="00084E6E">
        <w:t xml:space="preserve"> 1899/9 k. </w:t>
      </w:r>
      <w:proofErr w:type="spellStart"/>
      <w:r w:rsidRPr="00084E6E">
        <w:t>ú.</w:t>
      </w:r>
      <w:proofErr w:type="spellEnd"/>
      <w:r w:rsidRPr="00084E6E">
        <w:t xml:space="preserve"> </w:t>
      </w:r>
      <w:proofErr w:type="spellStart"/>
      <w:r w:rsidRPr="00084E6E">
        <w:t>Bručná</w:t>
      </w:r>
      <w:proofErr w:type="spellEnd"/>
      <w:r w:rsidRPr="00084E6E">
        <w:t xml:space="preserve"> uložen plynovod. Za tímto účelem společnost požádala jednotlivé spoluvlastníky o uzavření smlouvy o zřízení VB. Fyzické osoby nesouhlasily se zřízením věcného břemene a naopak požadovaly výkup jejich podílů na předmětném pozemku. Z tohoto důvodu společnost vykupuje jednotlivé spoluvlastnické podíly od </w:t>
      </w:r>
      <w:proofErr w:type="gramStart"/>
      <w:r w:rsidRPr="00084E6E">
        <w:t>FO</w:t>
      </w:r>
      <w:proofErr w:type="gramEnd"/>
      <w:r w:rsidRPr="00084E6E">
        <w:t xml:space="preserve">. Společnosti je znám fakt, že Úřad pro zastupování státu ve věcech majetkových jedná s městem Plzní o převodu spoluvlastnického podílu státu na město Plzeň. Zástupce společnosti VGP má v úmyslu vykoupené spoluvlastnické podíly FO poté převést formou daru na město Plzeň. </w:t>
      </w:r>
    </w:p>
    <w:p w:rsidR="00444D02" w:rsidRPr="00084E6E" w:rsidRDefault="00444D02" w:rsidP="00444D02">
      <w:r>
        <w:tab/>
      </w:r>
      <w:r w:rsidRPr="00084E6E">
        <w:t>Město Plzeň je spoluvlastníkem podílu ve výši 53/60 k celku na základě darovací smlouvy. Spoluvlastnický podíl města představuje 88,33 % vlastnictví.</w:t>
      </w:r>
    </w:p>
    <w:p w:rsidR="00444D02" w:rsidRDefault="00444D02" w:rsidP="00444D02">
      <w:r w:rsidRPr="00084E6E">
        <w:t>Komise pro nakládání s majetkem Rady města Plzně na svém zasedání dne 1. 11. 2012 doporučila Radě města Plzně souhlasit s uzavřením smlouvy o bezúplatném převodu předmětného nemovitého majetku.</w:t>
      </w:r>
    </w:p>
    <w:p w:rsidR="00444D02" w:rsidRPr="00084E6E" w:rsidRDefault="00444D02" w:rsidP="00444D02">
      <w:pPr>
        <w:pStyle w:val="Normlnodsazen"/>
        <w:ind w:left="0"/>
      </w:pPr>
      <w:r>
        <w:tab/>
        <w:t>Rada města Plzně na svém zasedání dne 29. 11. 2012 vyslovila souhlas s výše popsanou majetkovou transakcí.</w:t>
      </w:r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Předpokládaný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cílový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r>
        <w:tab/>
        <w:t xml:space="preserve">Majetkoprávní vypořádání spoluvlastnického podílu státu ve výši 1/120 k celku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1899/9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Bručná</w:t>
      </w:r>
      <w:proofErr w:type="spellEnd"/>
      <w:r>
        <w:t xml:space="preserve"> formou bezúplatného převodu.</w:t>
      </w:r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Navrhované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Doporučená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Finanční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nároky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možnosti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finančního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krytí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Žádné</w:t>
      </w:r>
      <w:proofErr w:type="spellEnd"/>
      <w:r>
        <w:rPr>
          <w:lang w:val="en-AU"/>
        </w:rPr>
        <w:t>.</w:t>
      </w:r>
      <w:proofErr w:type="gramEnd"/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termínů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realizace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určení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zodpovědných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pracovníků</w:t>
      </w:r>
      <w:proofErr w:type="spellEnd"/>
    </w:p>
    <w:p w:rsidR="00444D02" w:rsidRDefault="00444D02" w:rsidP="00444D0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444D02" w:rsidRDefault="00444D02" w:rsidP="00444D02">
      <w:pPr>
        <w:pStyle w:val="ostzahl"/>
        <w:rPr>
          <w:lang w:val="en-AU"/>
        </w:rPr>
      </w:pPr>
      <w:proofErr w:type="spellStart"/>
      <w:r>
        <w:rPr>
          <w:lang w:val="en-AU"/>
        </w:rPr>
        <w:t>Dříve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přijatá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orgánů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nebo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obvodů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která</w:t>
      </w:r>
      <w:proofErr w:type="spellEnd"/>
      <w:r>
        <w:rPr>
          <w:lang w:val="en-AU"/>
        </w:rPr>
        <w:t xml:space="preserve"> s </w:t>
      </w:r>
      <w:proofErr w:type="spellStart"/>
      <w:r>
        <w:rPr>
          <w:lang w:val="en-AU"/>
        </w:rPr>
        <w:t>tímto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návrhem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souvisejí</w:t>
      </w:r>
      <w:proofErr w:type="spellEnd"/>
    </w:p>
    <w:p w:rsidR="00444D02" w:rsidRDefault="00444D02" w:rsidP="00444D02">
      <w:pPr>
        <w:pStyle w:val="vlevo"/>
      </w:pPr>
      <w:r>
        <w:t>Stanovisko TÚ MMP</w:t>
      </w:r>
    </w:p>
    <w:p w:rsidR="00444D02" w:rsidRDefault="00444D02" w:rsidP="00444D02">
      <w:pPr>
        <w:pStyle w:val="vlevo"/>
      </w:pPr>
      <w:r>
        <w:t>Usnesení Komise RMO Plzeň 2 ze dne 10. 10. 2012</w:t>
      </w:r>
    </w:p>
    <w:p w:rsidR="00444D02" w:rsidRDefault="00444D02" w:rsidP="00444D02">
      <w:pPr>
        <w:pStyle w:val="vlevo"/>
      </w:pPr>
      <w:r>
        <w:t>Zápis z KNM RMP ze dne 1. 11. 2012</w:t>
      </w:r>
    </w:p>
    <w:p w:rsidR="00444D02" w:rsidRDefault="00444D02" w:rsidP="00444D02">
      <w:pPr>
        <w:pStyle w:val="vlevo"/>
      </w:pPr>
      <w:r>
        <w:t>Usnesení RMP ze dne 29. 11. 2012</w:t>
      </w:r>
      <w:r w:rsidR="00FB2DD3">
        <w:t>.</w:t>
      </w:r>
    </w:p>
    <w:p w:rsidR="00444D02" w:rsidRDefault="00444D02" w:rsidP="00444D02">
      <w:pPr>
        <w:pStyle w:val="ostzahl"/>
      </w:pPr>
      <w:r>
        <w:t>Závazky či pohledávky vůči městu Plzni</w:t>
      </w:r>
    </w:p>
    <w:p w:rsidR="00444D02" w:rsidRDefault="00444D02" w:rsidP="00444D02">
      <w:pPr>
        <w:pStyle w:val="vlevo"/>
      </w:pPr>
      <w:r>
        <w:t>Nešetří se.</w:t>
      </w: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vlevo"/>
      </w:pPr>
    </w:p>
    <w:p w:rsidR="00444D02" w:rsidRDefault="00444D02" w:rsidP="00444D02">
      <w:pPr>
        <w:pStyle w:val="ostzahl"/>
        <w:tabs>
          <w:tab w:val="clear" w:pos="360"/>
          <w:tab w:val="num" w:pos="284"/>
          <w:tab w:val="left" w:pos="426"/>
        </w:tabs>
        <w:jc w:val="left"/>
      </w:pPr>
      <w:r>
        <w:t>Přílohy</w:t>
      </w:r>
    </w:p>
    <w:p w:rsidR="00444D02" w:rsidRDefault="00444D02" w:rsidP="00444D02">
      <w:pPr>
        <w:rPr>
          <w:szCs w:val="24"/>
        </w:rPr>
      </w:pPr>
      <w:r w:rsidRPr="007A6F8E">
        <w:rPr>
          <w:szCs w:val="24"/>
        </w:rPr>
        <w:t xml:space="preserve">Příloha č. 1 – žádost ÚZSVM </w:t>
      </w:r>
    </w:p>
    <w:p w:rsidR="00444D02" w:rsidRPr="007A6F8E" w:rsidRDefault="00444D02" w:rsidP="00444D02">
      <w:pPr>
        <w:rPr>
          <w:szCs w:val="24"/>
        </w:rPr>
      </w:pPr>
      <w:r>
        <w:rPr>
          <w:szCs w:val="24"/>
        </w:rPr>
        <w:t>Příloha č. 2 - korespondence</w:t>
      </w:r>
    </w:p>
    <w:p w:rsidR="00444D02" w:rsidRPr="007A6F8E" w:rsidRDefault="00444D02" w:rsidP="00444D02">
      <w:pPr>
        <w:rPr>
          <w:szCs w:val="24"/>
        </w:rPr>
      </w:pPr>
      <w:r w:rsidRPr="007A6F8E">
        <w:rPr>
          <w:szCs w:val="24"/>
        </w:rPr>
        <w:t xml:space="preserve">Příloha č. </w:t>
      </w:r>
      <w:r>
        <w:rPr>
          <w:szCs w:val="24"/>
        </w:rPr>
        <w:t>3</w:t>
      </w:r>
      <w:r w:rsidRPr="007A6F8E">
        <w:rPr>
          <w:szCs w:val="24"/>
        </w:rPr>
        <w:t xml:space="preserve"> – </w:t>
      </w:r>
      <w:r>
        <w:rPr>
          <w:szCs w:val="24"/>
        </w:rPr>
        <w:t>stanovisko TÚ MMP</w:t>
      </w:r>
    </w:p>
    <w:p w:rsidR="00444D02" w:rsidRPr="007A6F8E" w:rsidRDefault="00444D02" w:rsidP="00444D02">
      <w:pPr>
        <w:rPr>
          <w:szCs w:val="24"/>
        </w:rPr>
      </w:pPr>
      <w:r w:rsidRPr="007A6F8E">
        <w:rPr>
          <w:szCs w:val="24"/>
        </w:rPr>
        <w:t xml:space="preserve">Příloha č. </w:t>
      </w:r>
      <w:r>
        <w:rPr>
          <w:szCs w:val="24"/>
        </w:rPr>
        <w:t>4</w:t>
      </w:r>
      <w:r w:rsidRPr="007A6F8E">
        <w:rPr>
          <w:szCs w:val="24"/>
        </w:rPr>
        <w:t xml:space="preserve"> – </w:t>
      </w:r>
      <w:r>
        <w:rPr>
          <w:szCs w:val="24"/>
        </w:rPr>
        <w:t>Komise RMO Plzeň 2</w:t>
      </w:r>
    </w:p>
    <w:p w:rsidR="00444D02" w:rsidRPr="007A6F8E" w:rsidRDefault="00444D02" w:rsidP="00444D02">
      <w:pPr>
        <w:rPr>
          <w:szCs w:val="24"/>
        </w:rPr>
      </w:pPr>
      <w:r w:rsidRPr="007A6F8E">
        <w:rPr>
          <w:szCs w:val="24"/>
        </w:rPr>
        <w:t xml:space="preserve">Příloha č. </w:t>
      </w:r>
      <w:r>
        <w:rPr>
          <w:szCs w:val="24"/>
        </w:rPr>
        <w:t>5</w:t>
      </w:r>
      <w:r w:rsidRPr="007A6F8E">
        <w:rPr>
          <w:szCs w:val="24"/>
        </w:rPr>
        <w:t xml:space="preserve"> – </w:t>
      </w:r>
      <w:r>
        <w:rPr>
          <w:szCs w:val="24"/>
        </w:rPr>
        <w:t>zápis z KNM RMP</w:t>
      </w:r>
    </w:p>
    <w:p w:rsidR="00444D02" w:rsidRDefault="00444D02" w:rsidP="00444D02">
      <w:pPr>
        <w:rPr>
          <w:szCs w:val="24"/>
        </w:rPr>
      </w:pPr>
      <w:r w:rsidRPr="007A6F8E">
        <w:rPr>
          <w:szCs w:val="24"/>
        </w:rPr>
        <w:t xml:space="preserve">Příloha č. </w:t>
      </w:r>
      <w:r>
        <w:rPr>
          <w:szCs w:val="24"/>
        </w:rPr>
        <w:t>6</w:t>
      </w:r>
      <w:r w:rsidRPr="007A6F8E">
        <w:rPr>
          <w:szCs w:val="24"/>
        </w:rPr>
        <w:t xml:space="preserve"> – katastrální mapy</w:t>
      </w:r>
      <w:r>
        <w:rPr>
          <w:szCs w:val="24"/>
        </w:rPr>
        <w:t xml:space="preserve">: modrá mapa, územní plán, letecký snímek, orientační </w:t>
      </w:r>
      <w:r w:rsidR="001A16CA">
        <w:rPr>
          <w:szCs w:val="24"/>
        </w:rPr>
        <w:tab/>
      </w:r>
      <w:r w:rsidR="001A16CA">
        <w:rPr>
          <w:szCs w:val="24"/>
        </w:rPr>
        <w:tab/>
      </w:r>
      <w:r>
        <w:rPr>
          <w:szCs w:val="24"/>
        </w:rPr>
        <w:t>turistická mapa</w:t>
      </w:r>
    </w:p>
    <w:p w:rsidR="00444D02" w:rsidRPr="00CF41D8" w:rsidRDefault="00444D02" w:rsidP="00444D02">
      <w:pPr>
        <w:pStyle w:val="Normlnodsazen"/>
        <w:ind w:left="0"/>
      </w:pPr>
      <w:r>
        <w:t>Příloha č. 7 – usnesení RMP ze dne 29. 11. 2012.</w:t>
      </w:r>
    </w:p>
    <w:p w:rsidR="00763863" w:rsidRDefault="00FB2DD3"/>
    <w:p w:rsidR="00444D02" w:rsidRDefault="00444D02" w:rsidP="00444D02">
      <w:pPr>
        <w:pStyle w:val="Normlnodsazen"/>
      </w:pPr>
    </w:p>
    <w:p w:rsidR="00444D02" w:rsidRDefault="00444D02" w:rsidP="00444D02">
      <w:pPr>
        <w:pStyle w:val="Normlnodsazen"/>
        <w:ind w:left="0"/>
      </w:pPr>
      <w:r>
        <w:t>Zpracovala: Jitka Kašparová, MAJ MMP</w:t>
      </w:r>
    </w:p>
    <w:p w:rsidR="00444D02" w:rsidRPr="00444D02" w:rsidRDefault="00444D02" w:rsidP="00444D02">
      <w:pPr>
        <w:pStyle w:val="Normlnodsazen"/>
        <w:ind w:left="0"/>
      </w:pPr>
      <w:r>
        <w:t>V Plzni dne 2</w:t>
      </w:r>
      <w:r w:rsidR="00FB2DD3">
        <w:t>6</w:t>
      </w:r>
      <w:bookmarkStart w:id="0" w:name="_GoBack"/>
      <w:bookmarkEnd w:id="0"/>
      <w:r>
        <w:t>. 11. 2012.</w:t>
      </w:r>
    </w:p>
    <w:sectPr w:rsidR="00444D02" w:rsidRPr="00444D02">
      <w:footerReference w:type="default" r:id="rId8"/>
      <w:pgSz w:w="11906" w:h="16838"/>
      <w:pgMar w:top="1440" w:right="1797" w:bottom="1440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DD3">
      <w:r>
        <w:separator/>
      </w:r>
    </w:p>
  </w:endnote>
  <w:endnote w:type="continuationSeparator" w:id="0">
    <w:p w:rsidR="00000000" w:rsidRDefault="00F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3F" w:rsidRDefault="001A16C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B2DD3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DD3">
      <w:r>
        <w:separator/>
      </w:r>
    </w:p>
  </w:footnote>
  <w:footnote w:type="continuationSeparator" w:id="0">
    <w:p w:rsidR="00000000" w:rsidRDefault="00FB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2"/>
    <w:rsid w:val="001A16CA"/>
    <w:rsid w:val="00444D02"/>
    <w:rsid w:val="004901A9"/>
    <w:rsid w:val="00DD5A18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44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444D02"/>
  </w:style>
  <w:style w:type="paragraph" w:customStyle="1" w:styleId="nadpcent">
    <w:name w:val="nadpcent"/>
    <w:basedOn w:val="Normln"/>
    <w:next w:val="vlevo"/>
    <w:autoRedefine/>
    <w:rsid w:val="00444D0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44D0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444D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44D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44D02"/>
  </w:style>
  <w:style w:type="paragraph" w:styleId="Normlnodsazen">
    <w:name w:val="Normal Indent"/>
    <w:basedOn w:val="Normln"/>
    <w:rsid w:val="00444D02"/>
    <w:pPr>
      <w:ind w:left="708"/>
    </w:pPr>
  </w:style>
  <w:style w:type="character" w:customStyle="1" w:styleId="vlevoChar">
    <w:name w:val="vlevo Char"/>
    <w:link w:val="vlevo"/>
    <w:locked/>
    <w:rsid w:val="00444D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44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444D02"/>
  </w:style>
  <w:style w:type="paragraph" w:customStyle="1" w:styleId="nadpcent">
    <w:name w:val="nadpcent"/>
    <w:basedOn w:val="Normln"/>
    <w:next w:val="vlevo"/>
    <w:autoRedefine/>
    <w:rsid w:val="00444D0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44D0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444D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44D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44D02"/>
  </w:style>
  <w:style w:type="paragraph" w:styleId="Normlnodsazen">
    <w:name w:val="Normal Indent"/>
    <w:basedOn w:val="Normln"/>
    <w:rsid w:val="00444D02"/>
    <w:pPr>
      <w:ind w:left="708"/>
    </w:pPr>
  </w:style>
  <w:style w:type="character" w:customStyle="1" w:styleId="vlevoChar">
    <w:name w:val="vlevo Char"/>
    <w:link w:val="vlevo"/>
    <w:locked/>
    <w:rsid w:val="00444D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2</cp:revision>
  <cp:lastPrinted>2012-11-26T13:44:00Z</cp:lastPrinted>
  <dcterms:created xsi:type="dcterms:W3CDTF">2012-11-26T13:23:00Z</dcterms:created>
  <dcterms:modified xsi:type="dcterms:W3CDTF">2012-11-26T13:46:00Z</dcterms:modified>
</cp:coreProperties>
</file>