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A0" w:rsidRPr="002F549A" w:rsidRDefault="001731A0" w:rsidP="001731A0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Důvodová zpráva</w:t>
      </w:r>
    </w:p>
    <w:p w:rsidR="001731A0" w:rsidRPr="00213470" w:rsidRDefault="001731A0" w:rsidP="001731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731A0" w:rsidRPr="002F549A" w:rsidRDefault="001731A0" w:rsidP="001731A0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Název problému a jeho charakteristika</w:t>
      </w:r>
    </w:p>
    <w:p w:rsidR="001731A0" w:rsidRPr="002F549A" w:rsidRDefault="001731A0" w:rsidP="0017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Rozhodnutí o odmítnutí nabídky výkupu nemovitostí v k.</w:t>
      </w:r>
      <w:r w:rsidR="008364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 </w:t>
      </w:r>
      <w:r w:rsidR="00836493">
        <w:rPr>
          <w:rFonts w:ascii="Times New Roman" w:eastAsia="Times New Roman" w:hAnsi="Times New Roman" w:cs="Times New Roman"/>
          <w:sz w:val="24"/>
          <w:szCs w:val="20"/>
          <w:lang w:eastAsia="cs-CZ"/>
        </w:rPr>
        <w:t>od</w:t>
      </w: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společnosti </w:t>
      </w: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České dráhy, a.s.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r w:rsidRPr="002F549A">
        <w:rPr>
          <w:rFonts w:ascii="Times New Roman" w:hAnsi="Times New Roman" w:cs="Times New Roman"/>
          <w:sz w:val="24"/>
          <w:szCs w:val="24"/>
        </w:rPr>
        <w:t>„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Přestupní uzel Plzeň/Šumavská - autobusový terminál“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31A0" w:rsidRPr="002F549A" w:rsidRDefault="001731A0" w:rsidP="001731A0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Konstatování současného stavu a jeho analýza</w:t>
      </w:r>
    </w:p>
    <w:p w:rsidR="008454F7" w:rsidRDefault="001731A0" w:rsidP="0017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9A">
        <w:rPr>
          <w:rFonts w:ascii="Times New Roman" w:hAnsi="Times New Roman" w:cs="Times New Roman"/>
          <w:sz w:val="24"/>
          <w:szCs w:val="24"/>
        </w:rPr>
        <w:t>POVED s.</w:t>
      </w:r>
      <w:r w:rsidR="00F96FC6">
        <w:rPr>
          <w:rFonts w:ascii="Times New Roman" w:hAnsi="Times New Roman" w:cs="Times New Roman"/>
          <w:sz w:val="24"/>
          <w:szCs w:val="24"/>
        </w:rPr>
        <w:t xml:space="preserve"> </w:t>
      </w:r>
      <w:r w:rsidRPr="002F549A">
        <w:rPr>
          <w:rFonts w:ascii="Times New Roman" w:hAnsi="Times New Roman" w:cs="Times New Roman"/>
          <w:sz w:val="24"/>
          <w:szCs w:val="24"/>
        </w:rPr>
        <w:t>r.</w:t>
      </w:r>
      <w:r w:rsidR="00F96FC6">
        <w:rPr>
          <w:rFonts w:ascii="Times New Roman" w:hAnsi="Times New Roman" w:cs="Times New Roman"/>
          <w:sz w:val="24"/>
          <w:szCs w:val="24"/>
        </w:rPr>
        <w:t xml:space="preserve"> </w:t>
      </w:r>
      <w:r w:rsidRPr="002F549A">
        <w:rPr>
          <w:rFonts w:ascii="Times New Roman" w:hAnsi="Times New Roman" w:cs="Times New Roman"/>
          <w:sz w:val="24"/>
          <w:szCs w:val="24"/>
        </w:rPr>
        <w:t xml:space="preserve">o. jako městem Plzní založený organizátor </w:t>
      </w:r>
      <w:r w:rsidR="00F96FC6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2F549A">
        <w:rPr>
          <w:rFonts w:ascii="Times New Roman" w:hAnsi="Times New Roman" w:cs="Times New Roman"/>
          <w:sz w:val="24"/>
          <w:szCs w:val="24"/>
        </w:rPr>
        <w:t xml:space="preserve">dopravy Plzeňska připravuje </w:t>
      </w:r>
      <w:r w:rsidR="00AC2271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836493">
        <w:rPr>
          <w:rFonts w:ascii="Times New Roman" w:hAnsi="Times New Roman" w:cs="Times New Roman"/>
          <w:sz w:val="24"/>
          <w:szCs w:val="24"/>
        </w:rPr>
        <w:t xml:space="preserve">dodatků k </w:t>
      </w:r>
      <w:r w:rsidR="00AC2271">
        <w:rPr>
          <w:rFonts w:ascii="Times New Roman" w:hAnsi="Times New Roman" w:cs="Times New Roman"/>
          <w:sz w:val="24"/>
          <w:szCs w:val="24"/>
        </w:rPr>
        <w:t>mandátn</w:t>
      </w:r>
      <w:r w:rsidR="00836493">
        <w:rPr>
          <w:rFonts w:ascii="Times New Roman" w:hAnsi="Times New Roman" w:cs="Times New Roman"/>
          <w:sz w:val="24"/>
          <w:szCs w:val="24"/>
        </w:rPr>
        <w:t>í smlouvě (usnesení  RMP</w:t>
      </w:r>
      <w:r w:rsidR="00AC2271">
        <w:rPr>
          <w:rFonts w:ascii="Times New Roman" w:hAnsi="Times New Roman" w:cs="Times New Roman"/>
          <w:sz w:val="24"/>
          <w:szCs w:val="24"/>
        </w:rPr>
        <w:t xml:space="preserve"> </w:t>
      </w:r>
      <w:r w:rsidR="00836493">
        <w:rPr>
          <w:rFonts w:ascii="Times New Roman" w:hAnsi="Times New Roman" w:cs="Times New Roman"/>
          <w:sz w:val="24"/>
          <w:szCs w:val="24"/>
        </w:rPr>
        <w:t xml:space="preserve">č. </w:t>
      </w:r>
      <w:r w:rsidR="00836493">
        <w:rPr>
          <w:rFonts w:ascii="Times New Roman" w:eastAsia="Times New Roman" w:hAnsi="Times New Roman" w:cs="Times New Roman"/>
          <w:sz w:val="24"/>
          <w:szCs w:val="20"/>
          <w:lang w:eastAsia="cs-CZ"/>
        </w:rPr>
        <w:t>1575/2010</w:t>
      </w:r>
      <w:r w:rsidR="00836493" w:rsidRP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43782">
        <w:rPr>
          <w:rFonts w:ascii="Times New Roman" w:eastAsia="Times New Roman" w:hAnsi="Times New Roman" w:cs="Times New Roman"/>
          <w:sz w:val="24"/>
          <w:szCs w:val="20"/>
          <w:lang w:eastAsia="cs-CZ"/>
        </w:rPr>
        <w:t>a č. </w:t>
      </w:r>
      <w:r w:rsidR="00836493">
        <w:rPr>
          <w:rFonts w:ascii="Times New Roman" w:eastAsia="Times New Roman" w:hAnsi="Times New Roman" w:cs="Times New Roman"/>
          <w:sz w:val="24"/>
          <w:szCs w:val="20"/>
          <w:lang w:eastAsia="cs-CZ"/>
        </w:rPr>
        <w:t>852/2012</w:t>
      </w:r>
      <w:r w:rsidR="000543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příloha č. 2</w:t>
      </w:r>
      <w:r w:rsidR="008364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  <w:r w:rsidR="00F96FC6">
        <w:rPr>
          <w:rFonts w:ascii="Times New Roman" w:hAnsi="Times New Roman" w:cs="Times New Roman"/>
          <w:sz w:val="24"/>
          <w:szCs w:val="24"/>
        </w:rPr>
        <w:t xml:space="preserve">projektovou dokumentaci pro </w:t>
      </w:r>
      <w:r w:rsidRPr="002F549A">
        <w:rPr>
          <w:rFonts w:ascii="Times New Roman" w:hAnsi="Times New Roman" w:cs="Times New Roman"/>
          <w:sz w:val="24"/>
          <w:szCs w:val="24"/>
        </w:rPr>
        <w:t>stavbu „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Přestupní uzel Plzeň/Šumavská - autobusový terminál“ (dále jen Stavba), která bude zajišťovat</w:t>
      </w:r>
      <w:r w:rsidRPr="002F549A">
        <w:rPr>
          <w:rFonts w:ascii="Times New Roman" w:hAnsi="Times New Roman" w:cs="Times New Roman"/>
          <w:sz w:val="24"/>
          <w:szCs w:val="24"/>
        </w:rPr>
        <w:t xml:space="preserve"> přímý přestup z osobních vlaků na spoje autobusov</w:t>
      </w:r>
      <w:r w:rsidR="00F96FC6">
        <w:rPr>
          <w:rFonts w:ascii="Times New Roman" w:hAnsi="Times New Roman" w:cs="Times New Roman"/>
          <w:sz w:val="24"/>
          <w:szCs w:val="24"/>
        </w:rPr>
        <w:t>é veřejné linkové dopravy</w:t>
      </w:r>
      <w:r w:rsidRPr="002F549A">
        <w:rPr>
          <w:rFonts w:ascii="Times New Roman" w:hAnsi="Times New Roman" w:cs="Times New Roman"/>
          <w:sz w:val="24"/>
          <w:szCs w:val="24"/>
        </w:rPr>
        <w:t xml:space="preserve"> a na spoje MHD v návaznosti na </w:t>
      </w:r>
      <w:r w:rsidR="00F96FC6">
        <w:rPr>
          <w:rFonts w:ascii="Times New Roman" w:hAnsi="Times New Roman" w:cs="Times New Roman"/>
          <w:sz w:val="24"/>
          <w:szCs w:val="24"/>
        </w:rPr>
        <w:t>investici</w:t>
      </w:r>
      <w:r w:rsidRPr="002F549A">
        <w:rPr>
          <w:rFonts w:ascii="Times New Roman" w:hAnsi="Times New Roman" w:cs="Times New Roman"/>
          <w:sz w:val="24"/>
          <w:szCs w:val="24"/>
        </w:rPr>
        <w:t xml:space="preserve"> Správy železniční dopravní cesty, státní organizace (dále jen SŽDC)</w:t>
      </w:r>
      <w:r w:rsidR="00F96FC6">
        <w:rPr>
          <w:rFonts w:ascii="Times New Roman" w:hAnsi="Times New Roman" w:cs="Times New Roman"/>
          <w:sz w:val="24"/>
          <w:szCs w:val="24"/>
        </w:rPr>
        <w:t xml:space="preserve"> </w:t>
      </w:r>
      <w:r w:rsidR="00F96FC6" w:rsidRPr="002F549A">
        <w:rPr>
          <w:rFonts w:ascii="Times New Roman" w:hAnsi="Times New Roman" w:cs="Times New Roman"/>
          <w:sz w:val="24"/>
          <w:szCs w:val="24"/>
        </w:rPr>
        <w:t>prodloužení podchodu pod 1. a 2.</w:t>
      </w:r>
      <w:r w:rsidR="00F96FC6">
        <w:rPr>
          <w:rFonts w:ascii="Times New Roman" w:hAnsi="Times New Roman" w:cs="Times New Roman"/>
          <w:sz w:val="24"/>
          <w:szCs w:val="24"/>
        </w:rPr>
        <w:t xml:space="preserve"> nástupištěm do Šumavské ulice</w:t>
      </w:r>
      <w:r w:rsidRPr="002F549A">
        <w:rPr>
          <w:rFonts w:ascii="Times New Roman" w:hAnsi="Times New Roman" w:cs="Times New Roman"/>
          <w:sz w:val="24"/>
          <w:szCs w:val="24"/>
        </w:rPr>
        <w:t>, která je právě realizována v rámci stavby „Průjezd uzlem Plzeň</w:t>
      </w:r>
      <w:r w:rsidR="00F96FC6">
        <w:rPr>
          <w:rFonts w:ascii="Times New Roman" w:hAnsi="Times New Roman" w:cs="Times New Roman"/>
          <w:sz w:val="24"/>
          <w:szCs w:val="24"/>
        </w:rPr>
        <w:t xml:space="preserve"> ve směru III. tranzitního železničního koridoru</w:t>
      </w:r>
      <w:r w:rsidRPr="002F549A">
        <w:rPr>
          <w:rFonts w:ascii="Times New Roman" w:hAnsi="Times New Roman" w:cs="Times New Roman"/>
          <w:sz w:val="24"/>
          <w:szCs w:val="24"/>
        </w:rPr>
        <w:t>“.</w:t>
      </w:r>
    </w:p>
    <w:p w:rsidR="00836493" w:rsidRPr="002F549A" w:rsidRDefault="00836493" w:rsidP="0017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9A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12. 2</w:t>
      </w:r>
      <w:r w:rsidRPr="002F549A">
        <w:rPr>
          <w:rFonts w:ascii="Times New Roman" w:hAnsi="Times New Roman" w:cs="Times New Roman"/>
          <w:sz w:val="24"/>
          <w:szCs w:val="24"/>
        </w:rPr>
        <w:t>. 2011 přijala R</w:t>
      </w:r>
      <w:r w:rsidR="008454F7">
        <w:rPr>
          <w:rFonts w:ascii="Times New Roman" w:hAnsi="Times New Roman" w:cs="Times New Roman"/>
          <w:sz w:val="24"/>
          <w:szCs w:val="24"/>
        </w:rPr>
        <w:t>MP</w:t>
      </w:r>
      <w:r w:rsidRPr="002F549A">
        <w:rPr>
          <w:rFonts w:ascii="Times New Roman" w:hAnsi="Times New Roman" w:cs="Times New Roman"/>
          <w:sz w:val="24"/>
          <w:szCs w:val="24"/>
        </w:rPr>
        <w:t xml:space="preserve"> usnesení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14</w:t>
      </w:r>
      <w:r w:rsidRP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2F549A">
        <w:rPr>
          <w:rFonts w:ascii="Times New Roman" w:hAnsi="Times New Roman" w:cs="Times New Roman"/>
          <w:sz w:val="24"/>
          <w:szCs w:val="24"/>
        </w:rPr>
        <w:t>kterým schválila</w:t>
      </w:r>
      <w:r>
        <w:rPr>
          <w:rFonts w:ascii="Times New Roman" w:hAnsi="Times New Roman" w:cs="Times New Roman"/>
          <w:sz w:val="24"/>
          <w:szCs w:val="24"/>
        </w:rPr>
        <w:t xml:space="preserve"> koncepci přípravy přestupních uzlů na území města Plzně.</w:t>
      </w:r>
    </w:p>
    <w:p w:rsidR="001731A0" w:rsidRPr="002F549A" w:rsidRDefault="001731A0" w:rsidP="0017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9A">
        <w:rPr>
          <w:rFonts w:ascii="Times New Roman" w:hAnsi="Times New Roman" w:cs="Times New Roman"/>
          <w:sz w:val="24"/>
          <w:szCs w:val="24"/>
        </w:rPr>
        <w:t>Dne 2. 6. 2011 přijala R</w:t>
      </w:r>
      <w:r w:rsidR="001175C2">
        <w:rPr>
          <w:rFonts w:ascii="Times New Roman" w:hAnsi="Times New Roman" w:cs="Times New Roman"/>
          <w:sz w:val="24"/>
          <w:szCs w:val="24"/>
        </w:rPr>
        <w:t>M</w:t>
      </w:r>
      <w:r w:rsidRPr="002F549A">
        <w:rPr>
          <w:rFonts w:ascii="Times New Roman" w:hAnsi="Times New Roman" w:cs="Times New Roman"/>
          <w:sz w:val="24"/>
          <w:szCs w:val="24"/>
        </w:rPr>
        <w:t>P usnesení č. 725</w:t>
      </w:r>
      <w:r w:rsidR="000543E3">
        <w:rPr>
          <w:rFonts w:ascii="Times New Roman" w:hAnsi="Times New Roman" w:cs="Times New Roman"/>
          <w:sz w:val="24"/>
          <w:szCs w:val="24"/>
        </w:rPr>
        <w:t xml:space="preserve"> (příloha č. 2)</w:t>
      </w:r>
      <w:r w:rsidRPr="002F549A">
        <w:rPr>
          <w:rFonts w:ascii="Times New Roman" w:hAnsi="Times New Roman" w:cs="Times New Roman"/>
          <w:sz w:val="24"/>
          <w:szCs w:val="24"/>
        </w:rPr>
        <w:t>, kterým schválila studii „Přestupní uzel hlavní nádraží“ jako základní podklad pro řešení přestupního uzlu Hlavní nádraží s autobusovým terminálem v úrovni kolejiště, souhlasila se zahájením přípravy realizace přestupního uzlu Hlavní nádraží a uložila zahájit přípravu realizace první etapy přestupního uzlu Hlavní nádraží.</w:t>
      </w:r>
    </w:p>
    <w:p w:rsidR="001731A0" w:rsidRPr="002F549A" w:rsidRDefault="001731A0" w:rsidP="0017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POVED s.</w:t>
      </w:r>
      <w:r w:rsidR="00836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r.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o. v dané věci jedná </w:t>
      </w:r>
      <w:r w:rsidR="009601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96018B"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společností České dráhy, a.s. (dále jen ČD)</w:t>
      </w:r>
      <w:r w:rsidR="009601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6018B"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vlastníkem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Stavbou dotčených nemovitostí, již téměř dva roky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je způsobeno především častými personálními změnami na Generálním ředitelství ČD (dále jen GŘČD)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731A0" w:rsidRPr="002F549A" w:rsidRDefault="001731A0" w:rsidP="0017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ČD dopisem ze dne 13. 3. 2012 </w:t>
      </w:r>
      <w:r w:rsidR="000543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(příloha č. 1)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nabídly odkup nemovitostí do majetku města Plzně za kupní cenu 21.900.000,- Kč. Dle předběžného ocenění zpracovaného pro potřeby MAJ MMP byla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vypočte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na na 18.600.000,- Kč.</w:t>
      </w:r>
    </w:p>
    <w:p w:rsidR="001731A0" w:rsidRPr="002F549A" w:rsidRDefault="001731A0" w:rsidP="0017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v současné době jsou na předmětných nemovitostech realizovány stavby SŽDC „Průjezd uzlem Plzeň ve směru III. TŽK“ a „Uzel Plzeň“ (termín ukončení se předpokládá v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 druhé polovině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 ro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2014), je navržen postup, podle kterého by město Plzeň v současné době pozemky od ČD nekupovalo, ale koupilo by je až po realizaci těchto staveb.</w:t>
      </w:r>
    </w:p>
    <w:p w:rsidR="001731A0" w:rsidRPr="002F549A" w:rsidRDefault="00AC2271" w:rsidP="0017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dokumentaci Stavby zpracované na základě zadání POVED s. r. o. </w:t>
      </w:r>
      <w:r w:rsidR="001731A0"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731A0"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získána kladná stanoviska </w:t>
      </w:r>
      <w:r w:rsidR="00836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od vlastníka nemovitostí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ČD</w:t>
      </w:r>
      <w:r w:rsidR="00836493">
        <w:rPr>
          <w:rFonts w:ascii="Times New Roman" w:eastAsia="Times New Roman" w:hAnsi="Times New Roman" w:cs="Times New Roman"/>
          <w:sz w:val="24"/>
          <w:szCs w:val="24"/>
          <w:lang w:eastAsia="cs-CZ"/>
        </w:rPr>
        <w:t>, tak od nájemce tj.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SŽDC</w:t>
      </w:r>
      <w:r w:rsidR="008364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54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6493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jejich základě bylo </w:t>
      </w:r>
      <w:r w:rsidR="001731A0"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vydáno územní rozhodnutí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31A0"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>j.: MMP/121195/12 ze dne 24. 5. 2012, které nabylo právní moci dne 30. 6. 2012.</w:t>
      </w:r>
    </w:p>
    <w:p w:rsidR="001731A0" w:rsidRPr="002F549A" w:rsidRDefault="001731A0" w:rsidP="0017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mohla být podána žádost o stavební povolení, </w:t>
      </w:r>
      <w:r w:rsidR="00AC2271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uzavřít s ČD smluvní vztah nejlépe smlouvu o právu provedení stavby.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této smlouvy byl </w:t>
      </w:r>
      <w:r w:rsidR="00836493">
        <w:rPr>
          <w:rFonts w:ascii="Times New Roman" w:eastAsia="Times New Roman" w:hAnsi="Times New Roman" w:cs="Times New Roman"/>
          <w:sz w:val="24"/>
          <w:szCs w:val="24"/>
          <w:lang w:eastAsia="cs-CZ"/>
        </w:rPr>
        <w:t>v listopadu 2012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připomínkován ze strany POVED s. r. o. a </w:t>
      </w:r>
      <w:r w:rsidR="00397A1B">
        <w:rPr>
          <w:rFonts w:ascii="Times New Roman" w:eastAsia="Times New Roman" w:hAnsi="Times New Roman" w:cs="Times New Roman"/>
          <w:sz w:val="24"/>
          <w:szCs w:val="24"/>
          <w:lang w:eastAsia="cs-CZ"/>
        </w:rPr>
        <w:t>MAJ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MMP.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Konečné znění této smlouvy připravují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projednávají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útvary GŘ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ČD. Po jejím doručení </w:t>
      </w:r>
      <w:r w:rsidR="00AC2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POVED s. r. o.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schválení této smlouvy předloženo do orgánů města Plzně. </w:t>
      </w:r>
    </w:p>
    <w:p w:rsidR="001731A0" w:rsidRDefault="001731A0" w:rsidP="0017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smlouvě o právu provedení stavby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město Plzeň podle </w:t>
      </w:r>
      <w:r w:rsidR="00AC2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dosud 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probíhajících jednání a požadavků ČD mimo jiné mělo zavázat </w:t>
      </w:r>
    </w:p>
    <w:p w:rsidR="001731A0" w:rsidRDefault="001731A0" w:rsidP="001731A0">
      <w:pPr>
        <w:pStyle w:val="Odstavecseseznamem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uzavření nájemní smlouvy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dočasné a trvalé zábory Stavby s účinností ode dne předání staveniště zhotoviteli s tím, že nájemné bude stanoveno za cenu v místě a čase obvyklou nebo v souladu s platným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enovým věstníkem MF ČR, </w:t>
      </w:r>
    </w:p>
    <w:p w:rsidR="001731A0" w:rsidRDefault="001731A0" w:rsidP="001731A0">
      <w:pPr>
        <w:pStyle w:val="Odstavecseseznamem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F5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odkoupení předmětných nemovitostí poté, co budou vyklizeny SŽDC, za cenu obvyklou určenou znalcem, na kterém se obě smluvní strany dohodnou, a to do šesti měsíců od nabytí právní moci kolaudačního rozhodnutí na Stavbu. Pokud nebude Stavba zahájena nebo nedojde k dohodě o prodeji nemovitostí do konce roku 2015, ČD nebudou dále vázány závazkem neprodejnosti nemovitostí třetí straně.</w:t>
      </w:r>
    </w:p>
    <w:p w:rsidR="00C244CE" w:rsidRDefault="00C244CE" w:rsidP="00C24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4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KNM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C2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doporučila neuzavřít navrhovanou </w:t>
      </w:r>
      <w:r w:rsidR="00AC2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a 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dopor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ila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 POVED s.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r.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o., aby ve spolupráci s </w:t>
      </w:r>
      <w:r w:rsidR="00397A1B">
        <w:rPr>
          <w:rFonts w:ascii="Times New Roman" w:eastAsia="Times New Roman" w:hAnsi="Times New Roman" w:cs="Times New Roman"/>
          <w:sz w:val="24"/>
          <w:szCs w:val="24"/>
          <w:lang w:eastAsia="cs-CZ"/>
        </w:rPr>
        <w:t>MAJ</w:t>
      </w:r>
      <w:r w:rsidR="00F96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MMP jednal s</w:t>
      </w:r>
      <w:r w:rsidR="00E445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E4454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bookmarkStart w:id="0" w:name="_GoBack"/>
      <w:bookmarkEnd w:id="0"/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způsobu, jak zajistit vydání stavebního povolení pro stavbu </w:t>
      </w:r>
      <w:r w:rsidRPr="008441D8">
        <w:rPr>
          <w:rFonts w:ascii="Times New Roman" w:hAnsi="Times New Roman" w:cs="Times New Roman"/>
          <w:sz w:val="24"/>
          <w:szCs w:val="24"/>
        </w:rPr>
        <w:t>„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Přestupní uzel Plzeň/Šumavská - autobusový terminál“, tzn. o uzavření smlouvy o</w:t>
      </w:r>
      <w:r w:rsidR="00AC22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provedení stavby, jejíž součástí by byl závazek města Plzně k uzavření nájemní smlouvy v souvislosti s touto stavbou a závazek města Plzně k výkupu stavbou dotčených nemovitostí v termínu do šesti měsíců od nabytí právní moci kolaudačního rozhodnutí na tuto stavbu a za cenu určenou znalcem, na kterém se obě smluvní strany dohodnou</w:t>
      </w:r>
      <w:r w:rsidR="00402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 č. 3)</w:t>
      </w:r>
      <w:r w:rsidRPr="008441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22E1" w:rsidRDefault="00E622E1" w:rsidP="00C24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dosavadního průběhu jednání s GŘČD předpokládáme uzavření smlouvy o právu provedení Stavby cca v dubnu 2013 a kupní smlouv</w:t>
      </w:r>
      <w:r w:rsidR="008454F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cca v letech 2015 - 2016.</w:t>
      </w:r>
    </w:p>
    <w:p w:rsidR="00843782" w:rsidRPr="00C244CE" w:rsidRDefault="00843782" w:rsidP="00C24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RMP nesouhlasila s uzavřením kupní smlouvy (příloha č. 6).</w:t>
      </w:r>
    </w:p>
    <w:p w:rsidR="001731A0" w:rsidRPr="002F549A" w:rsidRDefault="001731A0" w:rsidP="001731A0">
      <w:pPr>
        <w:pStyle w:val="Zkladntext21"/>
        <w:numPr>
          <w:ilvl w:val="0"/>
          <w:numId w:val="1"/>
        </w:numPr>
        <w:spacing w:before="120" w:after="120"/>
        <w:ind w:left="425" w:right="-51" w:hanging="425"/>
        <w:rPr>
          <w:b/>
          <w:spacing w:val="22"/>
        </w:rPr>
      </w:pPr>
      <w:r w:rsidRPr="002F549A">
        <w:t xml:space="preserve"> </w:t>
      </w:r>
      <w:r w:rsidRPr="002F549A">
        <w:rPr>
          <w:b/>
          <w:spacing w:val="22"/>
        </w:rPr>
        <w:t>Předpokládaný cílový stav</w:t>
      </w:r>
    </w:p>
    <w:p w:rsidR="001731A0" w:rsidRPr="002F549A" w:rsidRDefault="00C244CE" w:rsidP="0017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Neuzavř</w:t>
      </w:r>
      <w:r w:rsidR="001731A0"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1731A0"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kupní smlouv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u. Jednat </w:t>
      </w:r>
      <w:r w:rsidR="008364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ČD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="001731A0"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uzavření jiného smluvního vztahu, který umožní městu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Plzni </w:t>
      </w:r>
      <w:r w:rsidR="001731A0"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získat stavební povolení na Stavbu.</w:t>
      </w:r>
    </w:p>
    <w:p w:rsidR="001731A0" w:rsidRPr="002F549A" w:rsidRDefault="001731A0" w:rsidP="001731A0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Navrhované varianty řešení</w:t>
      </w:r>
    </w:p>
    <w:p w:rsidR="001731A0" w:rsidRPr="002F549A" w:rsidRDefault="001731A0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Viz </w:t>
      </w:r>
      <w:r w:rsidR="002C3902">
        <w:rPr>
          <w:rFonts w:ascii="Times New Roman" w:eastAsia="Times New Roman" w:hAnsi="Times New Roman" w:cs="Times New Roman"/>
          <w:sz w:val="24"/>
          <w:szCs w:val="20"/>
          <w:lang w:eastAsia="cs-CZ"/>
        </w:rPr>
        <w:t>návrh usnesení</w:t>
      </w: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731A0" w:rsidRPr="002F549A" w:rsidRDefault="001731A0" w:rsidP="001731A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Doporučená varianta řešení</w:t>
      </w:r>
    </w:p>
    <w:p w:rsidR="001731A0" w:rsidRPr="002F549A" w:rsidRDefault="002C3902" w:rsidP="002C3902">
      <w:pPr>
        <w:pStyle w:val="Odstavecseseznamem"/>
        <w:spacing w:after="0" w:line="240" w:lineRule="auto"/>
        <w:ind w:left="426" w:right="-335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Viz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návrh usnesení</w:t>
      </w: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731A0" w:rsidRPr="002F549A" w:rsidRDefault="001731A0" w:rsidP="001731A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Finanční nároky řešení a možnosti finančního krytí</w:t>
      </w:r>
    </w:p>
    <w:p w:rsidR="001731A0" w:rsidRPr="002F549A" w:rsidRDefault="001731A0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Nejsou.</w:t>
      </w:r>
    </w:p>
    <w:p w:rsidR="001731A0" w:rsidRPr="002F549A" w:rsidRDefault="001731A0" w:rsidP="001731A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Návrh termínů realizace a určení zodpovědných pracovníků</w:t>
      </w:r>
    </w:p>
    <w:p w:rsidR="001731A0" w:rsidRPr="002F549A" w:rsidRDefault="002C3902" w:rsidP="0017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Viz návrh usnesení.</w:t>
      </w:r>
    </w:p>
    <w:p w:rsidR="001731A0" w:rsidRPr="002F549A" w:rsidRDefault="001731A0" w:rsidP="001731A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F549A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Dříve přijatá usnesení orgánů města nebo městských obvodů, která s tímto návrhem souvisejí</w:t>
      </w:r>
    </w:p>
    <w:p w:rsidR="00F96FC6" w:rsidRPr="008454F7" w:rsidRDefault="00F96FC6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Usnesení RMP č.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1575</w:t>
      </w:r>
      <w:r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</w:t>
      </w:r>
      <w:r w:rsid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>e dne</w:t>
      </w:r>
      <w:r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> 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12</w:t>
      </w:r>
      <w:r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F96FC6" w:rsidRPr="008454F7" w:rsidRDefault="008454F7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snesení RMP č. 14</w:t>
      </w:r>
      <w:r w:rsidR="00F96FC6"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>5 z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17.</w:t>
      </w:r>
      <w:r w:rsidR="00F96FC6" w:rsidRPr="008454F7">
        <w:rPr>
          <w:rFonts w:ascii="Times New Roman" w:eastAsia="Times New Roman" w:hAnsi="Times New Roman" w:cs="Times New Roman"/>
          <w:sz w:val="24"/>
          <w:szCs w:val="20"/>
          <w:lang w:eastAsia="cs-CZ"/>
        </w:rPr>
        <w:t> 2. 2011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2C3902" w:rsidRDefault="008454F7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1731A0"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snesení RMP č. 725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2. 6. 2011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F96FC6" w:rsidRDefault="008454F7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AC2271">
        <w:rPr>
          <w:rFonts w:ascii="Times New Roman" w:eastAsia="Times New Roman" w:hAnsi="Times New Roman" w:cs="Times New Roman"/>
          <w:sz w:val="24"/>
          <w:szCs w:val="20"/>
          <w:lang w:eastAsia="cs-CZ"/>
        </w:rPr>
        <w:t>snesení RMP č. 85</w:t>
      </w:r>
      <w:r w:rsidR="00F96FC6" w:rsidRPr="002F549A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 w:rsidR="00AC2271">
        <w:rPr>
          <w:rFonts w:ascii="Times New Roman" w:eastAsia="Times New Roman" w:hAnsi="Times New Roman" w:cs="Times New Roman"/>
          <w:sz w:val="24"/>
          <w:szCs w:val="20"/>
          <w:lang w:eastAsia="cs-CZ"/>
        </w:rPr>
        <w:t>31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AC2271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 w:rsidR="00AC2271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843782" w:rsidRDefault="008454F7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2C3902">
        <w:rPr>
          <w:rFonts w:ascii="Times New Roman" w:eastAsia="Times New Roman" w:hAnsi="Times New Roman" w:cs="Times New Roman"/>
          <w:sz w:val="24"/>
          <w:szCs w:val="20"/>
          <w:lang w:eastAsia="cs-CZ"/>
        </w:rPr>
        <w:t>ápis z</w:t>
      </w:r>
      <w:r w:rsidR="00F96F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jednání </w:t>
      </w:r>
      <w:r w:rsidR="002C3902">
        <w:rPr>
          <w:rFonts w:ascii="Times New Roman" w:eastAsia="Times New Roman" w:hAnsi="Times New Roman" w:cs="Times New Roman"/>
          <w:sz w:val="24"/>
          <w:szCs w:val="20"/>
          <w:lang w:eastAsia="cs-CZ"/>
        </w:rPr>
        <w:t>KNM ze dne 6. 12. 2012</w:t>
      </w:r>
      <w:r w:rsidR="00843782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731A0" w:rsidRPr="00237415" w:rsidRDefault="00843782" w:rsidP="0012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usnesení </w:t>
      </w: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RMP č. </w:t>
      </w:r>
      <w:r w:rsidR="00237415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1667 </w:t>
      </w: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ze dne 20. 12. 2012.</w:t>
      </w:r>
    </w:p>
    <w:p w:rsidR="001731A0" w:rsidRPr="00237415" w:rsidRDefault="001731A0" w:rsidP="001731A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Závazky či pohledávky vůči městu Plzni</w:t>
      </w:r>
    </w:p>
    <w:p w:rsidR="001731A0" w:rsidRPr="00237415" w:rsidRDefault="001731A0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Nejsou.</w:t>
      </w:r>
    </w:p>
    <w:p w:rsidR="001731A0" w:rsidRPr="00237415" w:rsidRDefault="001731A0" w:rsidP="001731A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Přílohy</w:t>
      </w:r>
    </w:p>
    <w:p w:rsidR="002C3902" w:rsidRPr="00237415" w:rsidRDefault="001731A0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Příloha č. 1 – návrh výkupu</w:t>
      </w:r>
    </w:p>
    <w:p w:rsidR="001731A0" w:rsidRPr="00237415" w:rsidRDefault="002C3902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Příloha č. 2 – </w:t>
      </w:r>
      <w:r w:rsidR="001731A0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usnesení RMP č. </w:t>
      </w:r>
      <w:r w:rsidR="00AC2271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1575/2010, 145/2011, </w:t>
      </w:r>
      <w:r w:rsidR="001731A0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725/2011</w:t>
      </w:r>
      <w:r w:rsidR="00AC2271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852/2012</w:t>
      </w:r>
    </w:p>
    <w:p w:rsidR="002C3902" w:rsidRPr="00237415" w:rsidRDefault="002C3902" w:rsidP="00AC2271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Příloha č. 3 </w:t>
      </w:r>
      <w:r w:rsidR="00AC2271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zápis z KNM ze dne 6. 12. 2012</w:t>
      </w:r>
    </w:p>
    <w:p w:rsidR="001731A0" w:rsidRPr="00237415" w:rsidRDefault="001731A0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Příloha č. </w:t>
      </w:r>
      <w:r w:rsidR="002C3902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modrá map</w:t>
      </w:r>
      <w:r w:rsidR="00F45E65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a, územní plán, letecký snímek</w:t>
      </w:r>
    </w:p>
    <w:p w:rsidR="001731A0" w:rsidRPr="00237415" w:rsidRDefault="002C3902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Příloha č. 5</w:t>
      </w:r>
      <w:r w:rsidR="001731A0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geometrický plán</w:t>
      </w:r>
    </w:p>
    <w:p w:rsidR="00843782" w:rsidRDefault="00843782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Příloha č. 6 – usnesení RMP č. </w:t>
      </w:r>
      <w:r w:rsidR="00237415"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1667</w:t>
      </w:r>
      <w:r w:rsidRPr="00237415">
        <w:rPr>
          <w:rFonts w:ascii="Times New Roman" w:eastAsia="Times New Roman" w:hAnsi="Times New Roman" w:cs="Times New Roman"/>
          <w:sz w:val="24"/>
          <w:szCs w:val="20"/>
          <w:lang w:eastAsia="cs-CZ"/>
        </w:rPr>
        <w:t>/2012</w:t>
      </w:r>
    </w:p>
    <w:p w:rsidR="001731A0" w:rsidRDefault="001731A0" w:rsidP="001731A0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sectPr w:rsidR="001731A0" w:rsidSect="000543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70E"/>
    <w:multiLevelType w:val="hybridMultilevel"/>
    <w:tmpl w:val="C36822CE"/>
    <w:lvl w:ilvl="0" w:tplc="F04E8E0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BA0139"/>
    <w:multiLevelType w:val="hybridMultilevel"/>
    <w:tmpl w:val="676ACB36"/>
    <w:lvl w:ilvl="0" w:tplc="C114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22187"/>
    <w:multiLevelType w:val="hybridMultilevel"/>
    <w:tmpl w:val="972E3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781B"/>
    <w:multiLevelType w:val="hybridMultilevel"/>
    <w:tmpl w:val="8F16A178"/>
    <w:lvl w:ilvl="0" w:tplc="1BBC4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1A0"/>
    <w:rsid w:val="000543E3"/>
    <w:rsid w:val="001175C2"/>
    <w:rsid w:val="00125D76"/>
    <w:rsid w:val="001731A0"/>
    <w:rsid w:val="00237415"/>
    <w:rsid w:val="002C3902"/>
    <w:rsid w:val="00397A1B"/>
    <w:rsid w:val="004024E4"/>
    <w:rsid w:val="00417DFD"/>
    <w:rsid w:val="00802116"/>
    <w:rsid w:val="00836493"/>
    <w:rsid w:val="00843782"/>
    <w:rsid w:val="008454F7"/>
    <w:rsid w:val="0096018B"/>
    <w:rsid w:val="00AC2271"/>
    <w:rsid w:val="00C244CE"/>
    <w:rsid w:val="00DF1E46"/>
    <w:rsid w:val="00E4454C"/>
    <w:rsid w:val="00E622E1"/>
    <w:rsid w:val="00F45E65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1A0"/>
    <w:pPr>
      <w:ind w:left="720"/>
      <w:contextualSpacing/>
    </w:pPr>
  </w:style>
  <w:style w:type="paragraph" w:customStyle="1" w:styleId="Zkladntext21">
    <w:name w:val="Základní text 21"/>
    <w:basedOn w:val="Normln"/>
    <w:rsid w:val="001731A0"/>
    <w:pPr>
      <w:overflowPunct w:val="0"/>
      <w:autoSpaceDE w:val="0"/>
      <w:autoSpaceDN w:val="0"/>
      <w:adjustRightInd w:val="0"/>
      <w:spacing w:after="0" w:line="240" w:lineRule="atLeast"/>
      <w:ind w:right="334"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731A0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1731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1A0"/>
    <w:pPr>
      <w:ind w:left="720"/>
      <w:contextualSpacing/>
    </w:pPr>
  </w:style>
  <w:style w:type="paragraph" w:customStyle="1" w:styleId="Zkladntext21">
    <w:name w:val="Základní text 21"/>
    <w:basedOn w:val="Normln"/>
    <w:rsid w:val="001731A0"/>
    <w:pPr>
      <w:overflowPunct w:val="0"/>
      <w:autoSpaceDE w:val="0"/>
      <w:autoSpaceDN w:val="0"/>
      <w:adjustRightInd w:val="0"/>
      <w:spacing w:after="0" w:line="240" w:lineRule="atLeast"/>
      <w:ind w:right="334"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731A0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1731A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16</cp:revision>
  <dcterms:created xsi:type="dcterms:W3CDTF">2012-12-07T08:16:00Z</dcterms:created>
  <dcterms:modified xsi:type="dcterms:W3CDTF">2013-01-08T06:48:00Z</dcterms:modified>
</cp:coreProperties>
</file>