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AA" w:rsidRPr="00C64AAA" w:rsidRDefault="00C64AAA" w:rsidP="00C64AAA">
      <w:pPr>
        <w:pStyle w:val="Nadpis1"/>
        <w:spacing w:before="0"/>
        <w:jc w:val="right"/>
        <w:rPr>
          <w:rFonts w:ascii="Arial" w:hAnsi="Arial" w:cs="Arial"/>
          <w:sz w:val="22"/>
          <w:szCs w:val="22"/>
        </w:rPr>
      </w:pPr>
      <w:r w:rsidRPr="00C64AAA">
        <w:rPr>
          <w:rFonts w:ascii="Arial" w:hAnsi="Arial" w:cs="Arial"/>
          <w:color w:val="auto"/>
          <w:sz w:val="22"/>
          <w:szCs w:val="22"/>
        </w:rPr>
        <w:t>Příloha:  ZMP  24. 01. 2013 – ÚKEP/1</w:t>
      </w:r>
      <w:bookmarkStart w:id="0" w:name="_GoBack"/>
      <w:bookmarkEnd w:id="0"/>
    </w:p>
    <w:p w:rsidR="00CE12D2" w:rsidRPr="006C3E9E" w:rsidRDefault="006C3E9E" w:rsidP="003805EB">
      <w:pPr>
        <w:pStyle w:val="Nadpis1"/>
        <w:spacing w:before="0"/>
        <w:jc w:val="both"/>
        <w:rPr>
          <w:rFonts w:ascii="Arial" w:hAnsi="Arial" w:cs="Arial"/>
        </w:rPr>
      </w:pPr>
      <w:r w:rsidRPr="006C3E9E">
        <w:rPr>
          <w:rFonts w:ascii="Arial" w:hAnsi="Arial" w:cs="Arial"/>
        </w:rPr>
        <w:t xml:space="preserve">Odůvodnění veřejné zakázky Zhotovitel stavby "Plzeňský </w:t>
      </w:r>
      <w:proofErr w:type="spellStart"/>
      <w:r w:rsidRPr="006C3E9E">
        <w:rPr>
          <w:rFonts w:ascii="Arial" w:hAnsi="Arial" w:cs="Arial"/>
        </w:rPr>
        <w:t>vědecko</w:t>
      </w:r>
      <w:proofErr w:type="spellEnd"/>
      <w:r w:rsidRPr="006C3E9E">
        <w:rPr>
          <w:rFonts w:ascii="Arial" w:hAnsi="Arial" w:cs="Arial"/>
        </w:rPr>
        <w:t xml:space="preserve"> technologický park III"</w:t>
      </w:r>
    </w:p>
    <w:p w:rsidR="006C3E9E" w:rsidRDefault="002F2756" w:rsidP="006C3E9E">
      <w:pPr>
        <w:pStyle w:val="Nadpis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156 odst. 1 písm. a) ZVZ - </w:t>
      </w:r>
      <w:r w:rsidR="006C3E9E" w:rsidRPr="006C3E9E">
        <w:rPr>
          <w:rFonts w:ascii="Arial" w:hAnsi="Arial" w:cs="Arial"/>
        </w:rPr>
        <w:t>Odůvodnění účelnosti veřejné zakázky:</w:t>
      </w:r>
    </w:p>
    <w:p w:rsidR="0081242B" w:rsidRPr="0081242B" w:rsidRDefault="0081242B" w:rsidP="0081242B">
      <w:r>
        <w:rPr>
          <w:rFonts w:ascii="Arial" w:hAnsi="Arial" w:cs="Arial"/>
        </w:rPr>
        <w:t xml:space="preserve">Dle vyhlášky </w:t>
      </w:r>
      <w:r w:rsidR="00803A2C">
        <w:rPr>
          <w:rFonts w:ascii="Arial" w:hAnsi="Arial" w:cs="Arial"/>
        </w:rPr>
        <w:t xml:space="preserve">č. </w:t>
      </w:r>
      <w:r>
        <w:rPr>
          <w:rFonts w:ascii="Arial" w:hAnsi="Arial" w:cs="Arial"/>
        </w:rPr>
        <w:t xml:space="preserve">232/2012 Sb. § </w:t>
      </w:r>
      <w:r w:rsidR="00803A2C">
        <w:rPr>
          <w:rFonts w:ascii="Arial" w:hAnsi="Arial" w:cs="Arial"/>
        </w:rPr>
        <w:t>2:</w:t>
      </w:r>
    </w:p>
    <w:p w:rsidR="006C3E9E" w:rsidRPr="006C3E9E" w:rsidRDefault="006C3E9E" w:rsidP="006C3E9E">
      <w:pPr>
        <w:pStyle w:val="Odstavecseseznamem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6C3E9E">
        <w:rPr>
          <w:rFonts w:ascii="Arial" w:hAnsi="Arial" w:cs="Arial"/>
          <w:b/>
        </w:rPr>
        <w:t>Popis potřeb, které mají být splněním veřejné zakázky naplněny:</w:t>
      </w:r>
      <w:r w:rsidRPr="006C3E9E">
        <w:rPr>
          <w:rFonts w:ascii="Arial" w:hAnsi="Arial" w:cs="Arial"/>
        </w:rPr>
        <w:t xml:space="preserve"> Současná již zrealizovaná infrastruktura pro výzkum, vývoj a inovace na území Vědeckotechnického parku Plzeň na Borských polí vykazuje </w:t>
      </w:r>
      <w:r w:rsidR="00905A32" w:rsidRPr="006C3E9E">
        <w:rPr>
          <w:rFonts w:ascii="Arial" w:hAnsi="Arial" w:cs="Arial"/>
        </w:rPr>
        <w:t>dlouhodobě 90%</w:t>
      </w:r>
      <w:r w:rsidR="00905A32">
        <w:rPr>
          <w:rFonts w:ascii="Arial" w:hAnsi="Arial" w:cs="Arial"/>
        </w:rPr>
        <w:t xml:space="preserve"> </w:t>
      </w:r>
      <w:r w:rsidRPr="006C3E9E">
        <w:rPr>
          <w:rFonts w:ascii="Arial" w:hAnsi="Arial" w:cs="Arial"/>
        </w:rPr>
        <w:t>obsazenost objektů ve správě BIC Plzeň s.r.o.</w:t>
      </w:r>
      <w:r w:rsidR="00905A32">
        <w:rPr>
          <w:rFonts w:ascii="Arial" w:hAnsi="Arial" w:cs="Arial"/>
        </w:rPr>
        <w:t xml:space="preserve"> A</w:t>
      </w:r>
      <w:r w:rsidRPr="006C3E9E">
        <w:rPr>
          <w:rFonts w:ascii="Arial" w:hAnsi="Arial" w:cs="Arial"/>
        </w:rPr>
        <w:t xml:space="preserve">ktuální obsazenost objektů Plzeňského </w:t>
      </w:r>
      <w:proofErr w:type="spellStart"/>
      <w:r w:rsidRPr="006C3E9E">
        <w:rPr>
          <w:rFonts w:ascii="Arial" w:hAnsi="Arial" w:cs="Arial"/>
        </w:rPr>
        <w:t>vědecko</w:t>
      </w:r>
      <w:proofErr w:type="spellEnd"/>
      <w:r w:rsidRPr="006C3E9E">
        <w:rPr>
          <w:rFonts w:ascii="Arial" w:hAnsi="Arial" w:cs="Arial"/>
        </w:rPr>
        <w:t xml:space="preserve"> technologického parku ve vlastnictví společnosti VTP a.s. přesahuje 90%. Ze sedmi nově vybudovaných objektů v rámci předcházející 2. etapy výstavby PVTP II, jejichž vlastníkem je statutární město Plzeň, je již pronajato šest objektů. Poptávka po prostorách tohoto typu je stále aktuální a i v době krize byly tyto prostory zaplněny.</w:t>
      </w:r>
    </w:p>
    <w:p w:rsidR="006C3E9E" w:rsidRPr="006C3E9E" w:rsidRDefault="006C3E9E" w:rsidP="006C3E9E">
      <w:pPr>
        <w:pStyle w:val="Odstavecseseznamem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6C3E9E">
        <w:rPr>
          <w:rFonts w:ascii="Arial" w:hAnsi="Arial" w:cs="Arial"/>
          <w:b/>
        </w:rPr>
        <w:t>Popis předmětu veřejné zakázky:</w:t>
      </w:r>
      <w:r w:rsidRPr="006C3E9E">
        <w:rPr>
          <w:rFonts w:ascii="Arial" w:hAnsi="Arial" w:cs="Arial"/>
        </w:rPr>
        <w:t xml:space="preserve"> Projekt "Plzeňský </w:t>
      </w:r>
      <w:proofErr w:type="spellStart"/>
      <w:r w:rsidRPr="006C3E9E">
        <w:rPr>
          <w:rFonts w:ascii="Arial" w:hAnsi="Arial" w:cs="Arial"/>
        </w:rPr>
        <w:t>vědecko</w:t>
      </w:r>
      <w:proofErr w:type="spellEnd"/>
      <w:r w:rsidRPr="006C3E9E">
        <w:rPr>
          <w:rFonts w:ascii="Arial" w:hAnsi="Arial" w:cs="Arial"/>
        </w:rPr>
        <w:t xml:space="preserve"> technologický park III" obnáší výstavbu dvou budov D1 a E a související infrastruktury na území Vědeckotechnického parku Plzeň na Borských polích. Touto výstavbou by byl zcela realizován záměr dle již vydaného územního rozhodnutí pro toto území.</w:t>
      </w:r>
    </w:p>
    <w:p w:rsidR="006C3E9E" w:rsidRPr="006C3E9E" w:rsidRDefault="006C3E9E" w:rsidP="006C3E9E">
      <w:pPr>
        <w:pStyle w:val="Odstavecseseznamem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6C3E9E">
        <w:rPr>
          <w:rFonts w:ascii="Arial" w:hAnsi="Arial" w:cs="Arial"/>
          <w:b/>
        </w:rPr>
        <w:t>Popis vzájemného vztahu předmětu veřejné zakázky a potřeb zadavatele:</w:t>
      </w:r>
      <w:r w:rsidRPr="006C3E9E">
        <w:rPr>
          <w:rFonts w:ascii="Arial" w:hAnsi="Arial" w:cs="Arial"/>
        </w:rPr>
        <w:t xml:space="preserve"> Ministerstvo průmyslu a obchodu ČR vyhlásilo v rámci "Operačního programu Podnikání a inovace, Prosperita II - Výzvu II - pokračování", ve které je možné žádat o dotaci ve výši až 75% způsobilých výdajů na zakládání a rozvoj vědeckotechnických parků. Město Plzeň má tak možnost realizovat 3. etapu výstavby nových objektů Plzeňského </w:t>
      </w:r>
      <w:proofErr w:type="spellStart"/>
      <w:r w:rsidRPr="006C3E9E">
        <w:rPr>
          <w:rFonts w:ascii="Arial" w:hAnsi="Arial" w:cs="Arial"/>
        </w:rPr>
        <w:t>vědecko</w:t>
      </w:r>
      <w:proofErr w:type="spellEnd"/>
      <w:r w:rsidRPr="006C3E9E">
        <w:rPr>
          <w:rFonts w:ascii="Arial" w:hAnsi="Arial" w:cs="Arial"/>
        </w:rPr>
        <w:t xml:space="preserve"> technologického parku za velmi výhodných finančních podmínek. Projekt "Plzeňský </w:t>
      </w:r>
      <w:proofErr w:type="spellStart"/>
      <w:r w:rsidRPr="006C3E9E">
        <w:rPr>
          <w:rFonts w:ascii="Arial" w:hAnsi="Arial" w:cs="Arial"/>
        </w:rPr>
        <w:t>vědecko</w:t>
      </w:r>
      <w:proofErr w:type="spellEnd"/>
      <w:r w:rsidRPr="006C3E9E">
        <w:rPr>
          <w:rFonts w:ascii="Arial" w:hAnsi="Arial" w:cs="Arial"/>
        </w:rPr>
        <w:t xml:space="preserve"> technologický park III" obnáší výstavbu dvou budov D1 a E a související infrastruktury na území Vědeckotechnického parku Plzeň na Borských polích. Touto výstavbou by byl zcela realizován záměr dle již vydaného územního rozhodnutí pro toto území. Výstavba nových objektů D1 a E1 je příležitostí, jak i nadále podporovat dosavadní aktivity napomáhající vzniku a rozvoji inovačních firem, jak podpořit a propojit výzkumné aktivity Západočeské university v Plzni s komerčním prostředím, jak zvýšit podnikatelský potenciál firem a zajistit podmínky pro nové výzkumné aktivity. Podporovat inovační prostředí je přínosem do budoucnosti města a jeho rozvoje. Je to také příležitost, jak udržet potenciál středoškolsky a vysokoškolsky vzdělaných lidí, aby neodcházel mimo region či do zahraničí.</w:t>
      </w:r>
    </w:p>
    <w:p w:rsidR="006C3E9E" w:rsidRDefault="006C3E9E" w:rsidP="006C3E9E">
      <w:pPr>
        <w:pStyle w:val="Odstavecseseznamem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6C3E9E">
        <w:rPr>
          <w:rFonts w:ascii="Arial" w:hAnsi="Arial" w:cs="Arial"/>
          <w:b/>
        </w:rPr>
        <w:t>Předpokládaný termín splnění veřejné zakázky:</w:t>
      </w:r>
      <w:r w:rsidRPr="006C3E9E">
        <w:rPr>
          <w:rFonts w:ascii="Arial" w:hAnsi="Arial" w:cs="Arial"/>
        </w:rPr>
        <w:t xml:space="preserve"> nejpozději do 15. 06. 2014</w:t>
      </w:r>
      <w:r w:rsidR="00803A2C">
        <w:rPr>
          <w:rFonts w:ascii="Arial" w:hAnsi="Arial" w:cs="Arial"/>
        </w:rPr>
        <w:t>.</w:t>
      </w:r>
    </w:p>
    <w:p w:rsidR="00803A2C" w:rsidRDefault="00803A2C" w:rsidP="006C3E9E">
      <w:pPr>
        <w:pStyle w:val="Odstavecseseznamem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Popis rizik souvisejících s plněním veřejné zakázky, která zadav</w:t>
      </w:r>
      <w:r w:rsidR="00E02A67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tel zohlednil při stanovení zadávacích podmínek</w:t>
      </w:r>
      <w:r w:rsidRPr="00E02A67">
        <w:rPr>
          <w:rFonts w:ascii="Arial" w:hAnsi="Arial" w:cs="Arial"/>
        </w:rPr>
        <w:t>:</w:t>
      </w:r>
    </w:p>
    <w:p w:rsidR="00E02A67" w:rsidRDefault="00E02A67" w:rsidP="003805EB">
      <w:pPr>
        <w:pStyle w:val="Odstavecseseznamem"/>
        <w:numPr>
          <w:ilvl w:val="1"/>
          <w:numId w:val="1"/>
        </w:numPr>
        <w:tabs>
          <w:tab w:val="left" w:pos="284"/>
        </w:tabs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Vážný zájem uchazečů o veřejnou zakázku stavby zohlednil zadavatel při stanovení jistoty</w:t>
      </w:r>
      <w:r w:rsidR="003805EB">
        <w:rPr>
          <w:rFonts w:ascii="Arial" w:hAnsi="Arial" w:cs="Arial"/>
        </w:rPr>
        <w:t xml:space="preserve"> k zajištění splnění povinností uchazeče ve výši 1 mil. Kč.</w:t>
      </w:r>
    </w:p>
    <w:p w:rsidR="00E02A67" w:rsidRDefault="00E02A67" w:rsidP="003805EB">
      <w:pPr>
        <w:pStyle w:val="Odstavecseseznamem"/>
        <w:numPr>
          <w:ilvl w:val="1"/>
          <w:numId w:val="1"/>
        </w:numPr>
        <w:tabs>
          <w:tab w:val="left" w:pos="284"/>
        </w:tabs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Řádné a včasné předání stavby zohlednil zadavatel při stanovení dalších obchodních podmínek (bankovní záruka za provedení předmětu plnění veřejné zakázky ve výši 10% z nabídkové ceny;</w:t>
      </w:r>
      <w:r w:rsidR="003805EB">
        <w:rPr>
          <w:rFonts w:ascii="Arial" w:hAnsi="Arial" w:cs="Arial"/>
        </w:rPr>
        <w:t xml:space="preserve"> pojištění odpovědnosti za škodu způsobenou dodavatelem třetí osobě ve výši nabídkové ceny dodavatele</w:t>
      </w:r>
      <w:r w:rsidR="003805EB" w:rsidRPr="003805EB">
        <w:t xml:space="preserve"> </w:t>
      </w:r>
      <w:r w:rsidR="003805EB" w:rsidRPr="003805EB">
        <w:rPr>
          <w:rFonts w:ascii="Arial" w:hAnsi="Arial" w:cs="Arial"/>
        </w:rPr>
        <w:t>a vztahující se pouze k předmětné veřejné zakázce</w:t>
      </w:r>
      <w:r w:rsidR="003805EB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poža</w:t>
      </w:r>
      <w:r w:rsidR="003805EB">
        <w:rPr>
          <w:rFonts w:ascii="Arial" w:hAnsi="Arial" w:cs="Arial"/>
        </w:rPr>
        <w:t>davek na uvedení subdodavatelů).</w:t>
      </w:r>
    </w:p>
    <w:p w:rsidR="00E02A67" w:rsidRPr="006C3E9E" w:rsidRDefault="00E02A67" w:rsidP="003805EB">
      <w:pPr>
        <w:pStyle w:val="Odstavecseseznamem"/>
        <w:numPr>
          <w:ilvl w:val="1"/>
          <w:numId w:val="1"/>
        </w:numPr>
        <w:tabs>
          <w:tab w:val="left" w:pos="284"/>
        </w:tabs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Naplnění doby udržitelnosti vyplývající z podmínek poskytnutí dotace</w:t>
      </w:r>
      <w:r w:rsidRPr="00E02A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zohlednil zadavatel při stanovení dalších obchodních podmínek (bankovní záruka za kvalitu předmětu plnění veřejné zakázky ve výši 10% z nabídkové ceny)</w:t>
      </w:r>
      <w:r w:rsidR="003805EB">
        <w:rPr>
          <w:rFonts w:ascii="Arial" w:hAnsi="Arial" w:cs="Arial"/>
        </w:rPr>
        <w:t>.</w:t>
      </w:r>
    </w:p>
    <w:p w:rsidR="002F2756" w:rsidRDefault="002F2756" w:rsidP="006C3E9E">
      <w:pPr>
        <w:pStyle w:val="Nadpis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§ 156 odst. 1 písm. b) ZVZ – Odůvodnění přiměřenosti požadavků na technické kvalifikační předpoklady</w:t>
      </w:r>
    </w:p>
    <w:p w:rsidR="002F2756" w:rsidRDefault="00803A2C" w:rsidP="00E02A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Zadavatel nepožaduje žádný z technických kvalifikačních předpokladů uvedených v</w:t>
      </w:r>
      <w:r w:rsidR="0081242B">
        <w:rPr>
          <w:rFonts w:ascii="Arial" w:hAnsi="Arial" w:cs="Arial"/>
        </w:rPr>
        <w:t xml:space="preserve">§ 3 odst. 3 vyhlášky </w:t>
      </w:r>
      <w:r>
        <w:rPr>
          <w:rFonts w:ascii="Arial" w:hAnsi="Arial" w:cs="Arial"/>
        </w:rPr>
        <w:t xml:space="preserve">č. </w:t>
      </w:r>
      <w:r w:rsidR="0081242B">
        <w:rPr>
          <w:rFonts w:ascii="Arial" w:hAnsi="Arial" w:cs="Arial"/>
        </w:rPr>
        <w:t>232/2012 Sb.</w:t>
      </w:r>
      <w:r>
        <w:rPr>
          <w:rFonts w:ascii="Arial" w:hAnsi="Arial" w:cs="Arial"/>
        </w:rPr>
        <w:t>,</w:t>
      </w:r>
      <w:r w:rsidR="008124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 které je třeba uvádět odůvodnění jejich přiměřenosti</w:t>
      </w:r>
    </w:p>
    <w:p w:rsidR="002F2756" w:rsidRDefault="002F2756" w:rsidP="002F2756">
      <w:pPr>
        <w:pStyle w:val="Nadpis2"/>
        <w:jc w:val="both"/>
        <w:rPr>
          <w:rFonts w:ascii="Arial" w:hAnsi="Arial" w:cs="Arial"/>
        </w:rPr>
      </w:pPr>
      <w:r>
        <w:rPr>
          <w:rFonts w:ascii="Arial" w:hAnsi="Arial" w:cs="Arial"/>
        </w:rPr>
        <w:t>§ 156 odst. 1 písm. c) ZVZ – Odůvodnění vymezení obchodních a technických podmínek veřejné zakázky ve vztahu k potřebám veřejného zadavatele</w:t>
      </w:r>
    </w:p>
    <w:p w:rsidR="0081242B" w:rsidRDefault="0081242B" w:rsidP="008124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Dle § 4 </w:t>
      </w:r>
      <w:r w:rsidR="00803A2C">
        <w:rPr>
          <w:rFonts w:ascii="Arial" w:hAnsi="Arial" w:cs="Arial"/>
        </w:rPr>
        <w:t xml:space="preserve">odst. 3 </w:t>
      </w:r>
      <w:r>
        <w:rPr>
          <w:rFonts w:ascii="Arial" w:hAnsi="Arial" w:cs="Arial"/>
        </w:rPr>
        <w:t xml:space="preserve">a </w:t>
      </w:r>
      <w:r w:rsidR="00803A2C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5</w:t>
      </w:r>
      <w:r w:rsidR="00803A2C">
        <w:rPr>
          <w:rFonts w:ascii="Arial" w:hAnsi="Arial" w:cs="Arial"/>
        </w:rPr>
        <w:t xml:space="preserve"> odst. 2</w:t>
      </w:r>
      <w:r>
        <w:rPr>
          <w:rFonts w:ascii="Arial" w:hAnsi="Arial" w:cs="Arial"/>
        </w:rPr>
        <w:t xml:space="preserve"> vyhlášky </w:t>
      </w:r>
      <w:r w:rsidR="00803A2C">
        <w:rPr>
          <w:rFonts w:ascii="Arial" w:hAnsi="Arial" w:cs="Arial"/>
        </w:rPr>
        <w:t xml:space="preserve">č. </w:t>
      </w:r>
      <w:r>
        <w:rPr>
          <w:rFonts w:ascii="Arial" w:hAnsi="Arial" w:cs="Arial"/>
        </w:rPr>
        <w:t xml:space="preserve">232/2012 </w:t>
      </w:r>
      <w:r w:rsidR="00803A2C">
        <w:rPr>
          <w:rFonts w:ascii="Arial" w:hAnsi="Arial" w:cs="Arial"/>
        </w:rPr>
        <w:t>se neuvádí</w:t>
      </w:r>
      <w:r w:rsidRPr="002F2756">
        <w:rPr>
          <w:rFonts w:ascii="Arial" w:hAnsi="Arial" w:cs="Arial"/>
        </w:rPr>
        <w:t>.</w:t>
      </w:r>
    </w:p>
    <w:p w:rsidR="005B41E0" w:rsidRPr="006C3E9E" w:rsidRDefault="002F2756" w:rsidP="005B41E0">
      <w:pPr>
        <w:pStyle w:val="Nadpis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156 odst. 1 písm. d) - </w:t>
      </w:r>
      <w:r w:rsidR="005B41E0">
        <w:rPr>
          <w:rFonts w:ascii="Arial" w:hAnsi="Arial" w:cs="Arial"/>
        </w:rPr>
        <w:t>S</w:t>
      </w:r>
      <w:r w:rsidR="005B41E0" w:rsidRPr="005B41E0">
        <w:rPr>
          <w:rFonts w:ascii="Arial" w:hAnsi="Arial" w:cs="Arial"/>
        </w:rPr>
        <w:t>tanovení základní</w:t>
      </w:r>
      <w:r w:rsidR="005B41E0">
        <w:rPr>
          <w:rFonts w:ascii="Arial" w:hAnsi="Arial" w:cs="Arial"/>
        </w:rPr>
        <w:t>ho</w:t>
      </w:r>
      <w:r w:rsidR="005B41E0" w:rsidRPr="005B41E0">
        <w:rPr>
          <w:rFonts w:ascii="Arial" w:hAnsi="Arial" w:cs="Arial"/>
        </w:rPr>
        <w:t xml:space="preserve"> hodnotícíh</w:t>
      </w:r>
      <w:r w:rsidR="005B41E0">
        <w:rPr>
          <w:rFonts w:ascii="Arial" w:hAnsi="Arial" w:cs="Arial"/>
        </w:rPr>
        <w:t>o</w:t>
      </w:r>
      <w:r w:rsidR="005B41E0" w:rsidRPr="005B41E0">
        <w:rPr>
          <w:rFonts w:ascii="Arial" w:hAnsi="Arial" w:cs="Arial"/>
        </w:rPr>
        <w:t xml:space="preserve"> kritéri</w:t>
      </w:r>
      <w:r w:rsidR="005B41E0">
        <w:rPr>
          <w:rFonts w:ascii="Arial" w:hAnsi="Arial" w:cs="Arial"/>
        </w:rPr>
        <w:t>a</w:t>
      </w:r>
      <w:r w:rsidR="005B41E0" w:rsidRPr="005B41E0">
        <w:rPr>
          <w:rFonts w:ascii="Arial" w:hAnsi="Arial" w:cs="Arial"/>
        </w:rPr>
        <w:t xml:space="preserve"> a způsob hodnocení nabídek ve vztahu k potřebám veřejného zadavatele</w:t>
      </w:r>
      <w:r w:rsidR="005B41E0" w:rsidRPr="006C3E9E">
        <w:rPr>
          <w:rFonts w:ascii="Arial" w:hAnsi="Arial" w:cs="Arial"/>
        </w:rPr>
        <w:t>:</w:t>
      </w:r>
    </w:p>
    <w:p w:rsidR="0081242B" w:rsidRPr="0081242B" w:rsidRDefault="0081242B" w:rsidP="0081242B">
      <w:r>
        <w:rPr>
          <w:rFonts w:ascii="Arial" w:hAnsi="Arial" w:cs="Arial"/>
        </w:rPr>
        <w:t>Dle § 6 vyhlášky 232/2012 Sb.:</w:t>
      </w:r>
    </w:p>
    <w:p w:rsidR="005B41E0" w:rsidRPr="003805EB" w:rsidRDefault="005B41E0" w:rsidP="003805EB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3805EB">
        <w:rPr>
          <w:rFonts w:ascii="Arial" w:hAnsi="Arial" w:cs="Arial"/>
        </w:rPr>
        <w:t>Základním hodnotícím kritériem je nejnižší nabídková cena, která ve vztahu k veřejnému zadavateli znamená nejnižší zatížení jeho rozpočtu.</w:t>
      </w:r>
    </w:p>
    <w:p w:rsidR="002F2756" w:rsidRPr="006C3E9E" w:rsidRDefault="002F2756" w:rsidP="002F2756">
      <w:pPr>
        <w:pStyle w:val="Nadpis2"/>
        <w:jc w:val="both"/>
        <w:rPr>
          <w:rFonts w:ascii="Arial" w:hAnsi="Arial" w:cs="Arial"/>
        </w:rPr>
      </w:pPr>
      <w:r w:rsidRPr="006C3E9E">
        <w:rPr>
          <w:rFonts w:ascii="Arial" w:hAnsi="Arial" w:cs="Arial"/>
        </w:rPr>
        <w:t>Odůvodnění předpokládané hodnoty veřejné zakázky:</w:t>
      </w:r>
    </w:p>
    <w:p w:rsidR="0081242B" w:rsidRPr="0081242B" w:rsidRDefault="0081242B" w:rsidP="0081242B">
      <w:r>
        <w:rPr>
          <w:rFonts w:ascii="Arial" w:hAnsi="Arial" w:cs="Arial"/>
        </w:rPr>
        <w:t>Dle § 7 vyhlášky 232/2012 Sb.:</w:t>
      </w:r>
    </w:p>
    <w:p w:rsidR="002F2756" w:rsidRPr="003805EB" w:rsidRDefault="002F2756" w:rsidP="00CC5172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3805EB">
        <w:rPr>
          <w:rFonts w:ascii="Arial" w:hAnsi="Arial" w:cs="Arial"/>
        </w:rPr>
        <w:t xml:space="preserve">Předpokládaná hodnota veřejné zakázky </w:t>
      </w:r>
      <w:r w:rsidR="00905A32">
        <w:rPr>
          <w:rFonts w:ascii="Arial" w:hAnsi="Arial" w:cs="Arial"/>
        </w:rPr>
        <w:t>(</w:t>
      </w:r>
      <w:r w:rsidR="00905A32" w:rsidRPr="00CC5172">
        <w:rPr>
          <w:rFonts w:ascii="Arial" w:hAnsi="Arial" w:cs="Arial"/>
        </w:rPr>
        <w:t>97</w:t>
      </w:r>
      <w:r w:rsidR="00905A32">
        <w:rPr>
          <w:rFonts w:ascii="Arial" w:hAnsi="Arial" w:cs="Arial"/>
        </w:rPr>
        <w:t>.</w:t>
      </w:r>
      <w:r w:rsidR="00905A32" w:rsidRPr="00CC5172">
        <w:rPr>
          <w:rFonts w:ascii="Arial" w:hAnsi="Arial" w:cs="Arial"/>
        </w:rPr>
        <w:t>200</w:t>
      </w:r>
      <w:r w:rsidR="00905A32">
        <w:rPr>
          <w:rFonts w:ascii="Arial" w:hAnsi="Arial" w:cs="Arial"/>
        </w:rPr>
        <w:t>.</w:t>
      </w:r>
      <w:r w:rsidR="00905A32" w:rsidRPr="00CC5172">
        <w:rPr>
          <w:rFonts w:ascii="Arial" w:hAnsi="Arial" w:cs="Arial"/>
        </w:rPr>
        <w:t>000</w:t>
      </w:r>
      <w:r w:rsidR="00905A32">
        <w:rPr>
          <w:rFonts w:ascii="Arial" w:hAnsi="Arial" w:cs="Arial"/>
        </w:rPr>
        <w:t xml:space="preserve">,- Kč) </w:t>
      </w:r>
      <w:r w:rsidRPr="003805EB">
        <w:rPr>
          <w:rFonts w:ascii="Arial" w:hAnsi="Arial" w:cs="Arial"/>
        </w:rPr>
        <w:t>byla stanovena na</w:t>
      </w:r>
      <w:r w:rsidR="00905A32">
        <w:rPr>
          <w:rFonts w:ascii="Arial" w:hAnsi="Arial" w:cs="Arial"/>
        </w:rPr>
        <w:t> </w:t>
      </w:r>
      <w:r w:rsidRPr="003805EB">
        <w:rPr>
          <w:rFonts w:ascii="Arial" w:hAnsi="Arial" w:cs="Arial"/>
        </w:rPr>
        <w:t>základě vyplnění kontrolního výkazu výměr a s ohledem na zkušenosti zadavatele a projektanta.</w:t>
      </w:r>
    </w:p>
    <w:p w:rsidR="006C3E9E" w:rsidRPr="006C3E9E" w:rsidRDefault="006C3E9E" w:rsidP="006C3E9E">
      <w:pPr>
        <w:pStyle w:val="Nadpis2"/>
        <w:jc w:val="both"/>
        <w:rPr>
          <w:rFonts w:ascii="Arial" w:hAnsi="Arial" w:cs="Arial"/>
        </w:rPr>
      </w:pPr>
      <w:r w:rsidRPr="006C3E9E">
        <w:rPr>
          <w:rFonts w:ascii="Arial" w:hAnsi="Arial" w:cs="Arial"/>
        </w:rPr>
        <w:t>Hlavní podmínky financování</w:t>
      </w:r>
    </w:p>
    <w:p w:rsidR="0081242B" w:rsidRPr="0081242B" w:rsidRDefault="0081242B" w:rsidP="0081242B">
      <w:r>
        <w:rPr>
          <w:rFonts w:ascii="Arial" w:hAnsi="Arial" w:cs="Arial"/>
        </w:rPr>
        <w:t>Dle § 1 odst. 3 vyhlášky 231/2012 Sb.:</w:t>
      </w:r>
    </w:p>
    <w:p w:rsidR="006C3E9E" w:rsidRPr="003805EB" w:rsidRDefault="006C3E9E" w:rsidP="003805EB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3805EB">
        <w:rPr>
          <w:rFonts w:ascii="Arial" w:hAnsi="Arial" w:cs="Arial"/>
        </w:rPr>
        <w:t>V průběhu realizace díla budou zhotoviteli hrazeny formou dílčích měsíčních faktur práce v rozsahu skutečně provedeném.</w:t>
      </w:r>
    </w:p>
    <w:p w:rsidR="006C3E9E" w:rsidRPr="003805EB" w:rsidRDefault="006C3E9E" w:rsidP="003805EB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3805EB">
        <w:rPr>
          <w:rFonts w:ascii="Arial" w:hAnsi="Arial" w:cs="Arial"/>
        </w:rPr>
        <w:t>Doba splatnosti daňových dokladů je stanovena na 90 kalendářních dnů ode dne doručení daňového dokladu zadavateli.</w:t>
      </w:r>
    </w:p>
    <w:p w:rsidR="006C3E9E" w:rsidRPr="003805EB" w:rsidRDefault="006C3E9E" w:rsidP="003805EB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3805EB">
        <w:rPr>
          <w:rFonts w:ascii="Arial" w:hAnsi="Arial" w:cs="Arial"/>
        </w:rPr>
        <w:t>Platby budou probíhat výhradně v CZK a rovněž veškeré cenové údaje budou v této měně.</w:t>
      </w:r>
    </w:p>
    <w:p w:rsidR="006C3E9E" w:rsidRPr="003805EB" w:rsidRDefault="006C3E9E" w:rsidP="003805EB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3805EB">
        <w:rPr>
          <w:rFonts w:ascii="Arial" w:hAnsi="Arial" w:cs="Arial"/>
        </w:rPr>
        <w:t>Platby budou probíhat až do vý</w:t>
      </w:r>
      <w:r w:rsidR="00905A32">
        <w:rPr>
          <w:rFonts w:ascii="Arial" w:hAnsi="Arial" w:cs="Arial"/>
        </w:rPr>
        <w:t>še 90</w:t>
      </w:r>
      <w:r w:rsidRPr="003805EB">
        <w:rPr>
          <w:rFonts w:ascii="Arial" w:hAnsi="Arial" w:cs="Arial"/>
        </w:rPr>
        <w:t>% ceny plnění veřejné zakázky. Zbývajících 10% bude uhrazeno až po odstranění poslední vady a nedodělku uvedeného v</w:t>
      </w:r>
      <w:r w:rsidR="00905A32">
        <w:rPr>
          <w:rFonts w:ascii="Arial" w:hAnsi="Arial" w:cs="Arial"/>
        </w:rPr>
        <w:t> </w:t>
      </w:r>
      <w:r w:rsidRPr="003805EB">
        <w:rPr>
          <w:rFonts w:ascii="Arial" w:hAnsi="Arial" w:cs="Arial"/>
        </w:rPr>
        <w:t>protokolu o předání a převzetí předmětu plnění veřejné zakázky.</w:t>
      </w:r>
    </w:p>
    <w:sectPr w:rsidR="006C3E9E" w:rsidRPr="003805EB" w:rsidSect="006C3E9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94BF6"/>
    <w:multiLevelType w:val="hybridMultilevel"/>
    <w:tmpl w:val="CD32B2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27653"/>
    <w:multiLevelType w:val="hybridMultilevel"/>
    <w:tmpl w:val="6066B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86E0E"/>
    <w:multiLevelType w:val="hybridMultilevel"/>
    <w:tmpl w:val="5B2870DC"/>
    <w:lvl w:ilvl="0" w:tplc="DB0AA624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9E"/>
    <w:rsid w:val="002F2756"/>
    <w:rsid w:val="003805EB"/>
    <w:rsid w:val="005B41E0"/>
    <w:rsid w:val="006C3E9E"/>
    <w:rsid w:val="00803A2C"/>
    <w:rsid w:val="0081242B"/>
    <w:rsid w:val="00905A32"/>
    <w:rsid w:val="00C55048"/>
    <w:rsid w:val="00C64AAA"/>
    <w:rsid w:val="00CC5172"/>
    <w:rsid w:val="00CE12D2"/>
    <w:rsid w:val="00E0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C3E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C3E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C3E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C3E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6C3E9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03A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3A2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3A2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3A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3A2C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03A2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03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3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C3E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C3E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C3E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C3E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6C3E9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03A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3A2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3A2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3A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3A2C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03A2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03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3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0A794A6-2E25-437E-A072-22B360038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728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Vaněček Jan</dc:creator>
  <cp:keywords/>
  <dc:description/>
  <cp:lastModifiedBy>Špillarová Eva</cp:lastModifiedBy>
  <cp:revision>6</cp:revision>
  <dcterms:created xsi:type="dcterms:W3CDTF">2013-01-04T13:07:00Z</dcterms:created>
  <dcterms:modified xsi:type="dcterms:W3CDTF">2013-01-14T11:31:00Z</dcterms:modified>
</cp:coreProperties>
</file>