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1B" w:rsidRPr="001F29D7" w:rsidRDefault="0039211B" w:rsidP="0039211B">
      <w:pPr>
        <w:pStyle w:val="nadpcent"/>
        <w:rPr>
          <w:lang w:val="pt-BR"/>
        </w:rPr>
      </w:pPr>
      <w:r w:rsidRPr="001F29D7">
        <w:rPr>
          <w:lang w:val="pt-BR"/>
        </w:rPr>
        <w:t>Důvodová zpráva</w:t>
      </w:r>
    </w:p>
    <w:p w:rsidR="0039211B" w:rsidRDefault="0039211B" w:rsidP="0039211B">
      <w:pPr>
        <w:jc w:val="both"/>
        <w:rPr>
          <w:b/>
        </w:rPr>
      </w:pPr>
      <w:r>
        <w:rPr>
          <w:b/>
        </w:rPr>
        <w:t>1. Název problému a jeho charakteristika</w:t>
      </w:r>
    </w:p>
    <w:p w:rsidR="0039211B" w:rsidRPr="00152891" w:rsidRDefault="0039211B" w:rsidP="0039211B">
      <w:pPr>
        <w:jc w:val="both"/>
        <w:rPr>
          <w:noProof w:val="0"/>
          <w:szCs w:val="20"/>
          <w:lang w:eastAsia="cs-CZ"/>
        </w:rPr>
      </w:pPr>
      <w:r w:rsidRPr="00152891">
        <w:t xml:space="preserve">    </w:t>
      </w:r>
      <w:r w:rsidRPr="00152891">
        <w:rPr>
          <w:noProof w:val="0"/>
          <w:szCs w:val="20"/>
          <w:lang w:eastAsia="cs-CZ"/>
        </w:rPr>
        <w:t xml:space="preserve">Poskytnutí </w:t>
      </w:r>
      <w:r>
        <w:rPr>
          <w:noProof w:val="0"/>
          <w:szCs w:val="20"/>
          <w:lang w:eastAsia="cs-CZ"/>
        </w:rPr>
        <w:t>dotace</w:t>
      </w:r>
      <w:r w:rsidRPr="00152891">
        <w:rPr>
          <w:noProof w:val="0"/>
          <w:szCs w:val="20"/>
          <w:lang w:eastAsia="cs-CZ"/>
        </w:rPr>
        <w:t xml:space="preserve">  na podporu přechodu z nekvalitních způsobů vytápění na </w:t>
      </w:r>
      <w:proofErr w:type="spellStart"/>
      <w:r w:rsidRPr="00152891">
        <w:rPr>
          <w:noProof w:val="0"/>
          <w:szCs w:val="20"/>
          <w:lang w:eastAsia="cs-CZ"/>
        </w:rPr>
        <w:t>nízkoemisní</w:t>
      </w:r>
      <w:proofErr w:type="spellEnd"/>
      <w:r w:rsidRPr="00152891">
        <w:rPr>
          <w:noProof w:val="0"/>
          <w:szCs w:val="20"/>
          <w:lang w:eastAsia="cs-CZ"/>
        </w:rPr>
        <w:t xml:space="preserve"> způsoby vytápění ve městě </w:t>
      </w:r>
      <w:proofErr w:type="gramStart"/>
      <w:r w:rsidRPr="00152891">
        <w:rPr>
          <w:noProof w:val="0"/>
          <w:szCs w:val="20"/>
          <w:lang w:eastAsia="cs-CZ"/>
        </w:rPr>
        <w:t>Plzni  jednotlivým</w:t>
      </w:r>
      <w:proofErr w:type="gramEnd"/>
      <w:r w:rsidRPr="00152891">
        <w:rPr>
          <w:noProof w:val="0"/>
          <w:szCs w:val="20"/>
          <w:lang w:eastAsia="cs-CZ"/>
        </w:rPr>
        <w:t xml:space="preserve"> žadatelům.</w:t>
      </w:r>
    </w:p>
    <w:p w:rsidR="0039211B" w:rsidRDefault="0039211B" w:rsidP="0039211B">
      <w:pPr>
        <w:jc w:val="both"/>
        <w:rPr>
          <w:b/>
          <w:szCs w:val="20"/>
          <w:lang w:eastAsia="cs-CZ"/>
        </w:rPr>
      </w:pPr>
    </w:p>
    <w:p w:rsidR="0039211B" w:rsidRDefault="0039211B" w:rsidP="0039211B">
      <w:pPr>
        <w:jc w:val="both"/>
        <w:rPr>
          <w:b/>
          <w:szCs w:val="20"/>
          <w:lang w:eastAsia="cs-CZ"/>
        </w:rPr>
      </w:pPr>
      <w:r>
        <w:rPr>
          <w:b/>
        </w:rPr>
        <w:t>2. Konstatování současného stavu a jeho analýza</w:t>
      </w:r>
    </w:p>
    <w:p w:rsidR="0039211B" w:rsidRDefault="0039211B" w:rsidP="0039211B">
      <w:pPr>
        <w:jc w:val="both"/>
        <w:rPr>
          <w:szCs w:val="20"/>
          <w:lang w:eastAsia="cs-CZ"/>
        </w:rPr>
      </w:pPr>
      <w:r>
        <w:t xml:space="preserve">   </w:t>
      </w:r>
      <w:r>
        <w:rPr>
          <w:szCs w:val="20"/>
          <w:lang w:eastAsia="cs-CZ"/>
        </w:rPr>
        <w:t xml:space="preserve"> </w:t>
      </w:r>
      <w:r>
        <w:t>Rada města Plzně dne 13.10.2011, usnesením č. 1278 schválila Zásady pro finanční podporu přechodu z nekvalitních způsobů vytápění na nízkoemisní způsoby vytápění ve městě Plzni. Cílem této systémové podpory je trvalé odstranění stávajících zastaralých topenišť na tuhá paliva za kvalitní nízkoemisní způsoby vytápění na území města Plzně.  Toto opatření je zaměřeno zejména na snižování vnášení jemných prachových částic a nebezpečných polycyklických aromatických uhlovodíků do venkovního ovzduší.</w:t>
      </w:r>
    </w:p>
    <w:p w:rsidR="0039211B" w:rsidRDefault="0039211B" w:rsidP="0039211B">
      <w:pPr>
        <w:jc w:val="both"/>
        <w:rPr>
          <w:szCs w:val="20"/>
          <w:lang w:eastAsia="cs-CZ"/>
        </w:rPr>
      </w:pPr>
    </w:p>
    <w:p w:rsidR="0039211B" w:rsidRDefault="0039211B" w:rsidP="0039211B">
      <w:pPr>
        <w:jc w:val="both"/>
        <w:rPr>
          <w:b/>
        </w:rPr>
      </w:pPr>
      <w:r w:rsidRPr="00967EEA">
        <w:rPr>
          <w:b/>
          <w:szCs w:val="20"/>
          <w:lang w:eastAsia="cs-CZ"/>
        </w:rPr>
        <w:t xml:space="preserve">3. </w:t>
      </w:r>
      <w:r w:rsidRPr="00967EEA">
        <w:rPr>
          <w:b/>
        </w:rPr>
        <w:t>Předpokládaný cílový stav</w:t>
      </w:r>
    </w:p>
    <w:p w:rsidR="0039211B" w:rsidRDefault="0039211B" w:rsidP="0039211B">
      <w:pPr>
        <w:jc w:val="both"/>
        <w:rPr>
          <w:szCs w:val="20"/>
          <w:lang w:eastAsia="cs-CZ"/>
        </w:rPr>
      </w:pPr>
      <w:r w:rsidRPr="00C439F5">
        <w:t xml:space="preserve">    </w:t>
      </w:r>
      <w:r>
        <w:t xml:space="preserve">V souladu se schválenými Zásadami pro finanční podporu přechodu z nekvalitních způsobů vytápění na nízkoemisní způsoby vytápění ve městě Plzni bude poskytnuta finanční podpora na změnu způsobu vytápění ze zastaralých topenišť na tuhá paliva na nízkoemisní způsob vytápění. </w:t>
      </w:r>
    </w:p>
    <w:p w:rsidR="0039211B" w:rsidRPr="00967EEA" w:rsidRDefault="0039211B" w:rsidP="0039211B">
      <w:pPr>
        <w:jc w:val="both"/>
        <w:rPr>
          <w:b/>
          <w:szCs w:val="20"/>
          <w:lang w:eastAsia="cs-CZ"/>
        </w:rPr>
      </w:pPr>
    </w:p>
    <w:p w:rsidR="0039211B" w:rsidRDefault="0039211B" w:rsidP="0039211B">
      <w:pPr>
        <w:jc w:val="both"/>
        <w:rPr>
          <w:b/>
          <w:szCs w:val="20"/>
          <w:lang w:eastAsia="cs-CZ"/>
        </w:rPr>
      </w:pPr>
      <w:r>
        <w:rPr>
          <w:b/>
        </w:rPr>
        <w:t>4. Navrhované varianty řešení</w:t>
      </w:r>
    </w:p>
    <w:p w:rsidR="0039211B" w:rsidRDefault="0039211B" w:rsidP="0039211B">
      <w:pPr>
        <w:jc w:val="both"/>
      </w:pPr>
      <w:r>
        <w:t>a) Poskytnout žadatelům finanční podporu na změnu vytápění v celkové výši 46 tis. Kč                   (46 240,-- Kč), jak doporučuje RMP a KŽP RMP.</w:t>
      </w:r>
    </w:p>
    <w:p w:rsidR="0039211B" w:rsidRPr="00355844" w:rsidRDefault="0039211B" w:rsidP="0039211B">
      <w:pPr>
        <w:jc w:val="both"/>
      </w:pPr>
      <w:r>
        <w:t>b) Požadovanou dotaci žadatelům neposkytnout.</w:t>
      </w:r>
    </w:p>
    <w:p w:rsidR="0039211B" w:rsidRDefault="0039211B" w:rsidP="0039211B">
      <w:pPr>
        <w:jc w:val="both"/>
        <w:rPr>
          <w:szCs w:val="20"/>
          <w:lang w:eastAsia="cs-CZ"/>
        </w:rPr>
      </w:pPr>
    </w:p>
    <w:p w:rsidR="0039211B" w:rsidRDefault="0039211B" w:rsidP="0039211B">
      <w:pPr>
        <w:jc w:val="both"/>
        <w:rPr>
          <w:b/>
          <w:szCs w:val="20"/>
          <w:lang w:eastAsia="cs-CZ"/>
        </w:rPr>
      </w:pPr>
      <w:r>
        <w:rPr>
          <w:b/>
        </w:rPr>
        <w:t>5. Doporučená varianta řešení</w:t>
      </w:r>
    </w:p>
    <w:p w:rsidR="0039211B" w:rsidRDefault="0039211B" w:rsidP="0039211B">
      <w:pPr>
        <w:jc w:val="both"/>
        <w:rPr>
          <w:szCs w:val="20"/>
          <w:lang w:eastAsia="cs-CZ"/>
        </w:rPr>
      </w:pPr>
      <w:r>
        <w:t xml:space="preserve">Dle bodu </w:t>
      </w:r>
      <w:smartTag w:uri="urn:schemas-microsoft-com:office:smarttags" w:element="metricconverter">
        <w:smartTagPr>
          <w:attr w:name="ProductID" w:val="4. a"/>
        </w:smartTagPr>
        <w:r>
          <w:t>4. a</w:t>
        </w:r>
      </w:smartTag>
      <w:r>
        <w:t>) důvodové zprávy.</w:t>
      </w:r>
    </w:p>
    <w:p w:rsidR="0039211B" w:rsidRDefault="0039211B" w:rsidP="0039211B">
      <w:pPr>
        <w:jc w:val="both"/>
        <w:rPr>
          <w:szCs w:val="20"/>
          <w:lang w:eastAsia="cs-CZ"/>
        </w:rPr>
      </w:pPr>
    </w:p>
    <w:p w:rsidR="0039211B" w:rsidRDefault="0039211B" w:rsidP="0039211B">
      <w:pPr>
        <w:jc w:val="both"/>
        <w:rPr>
          <w:b/>
          <w:szCs w:val="20"/>
          <w:lang w:eastAsia="cs-CZ"/>
        </w:rPr>
      </w:pPr>
      <w:r>
        <w:rPr>
          <w:b/>
        </w:rPr>
        <w:t>6. Finanční nároky řešení a možnosti finančního krytí (včetně všech následných  např. provozních nákladů)</w:t>
      </w:r>
    </w:p>
    <w:p w:rsidR="0039211B" w:rsidRPr="003A33EB" w:rsidRDefault="0039211B" w:rsidP="0039211B">
      <w:pPr>
        <w:rPr>
          <w:lang w:eastAsia="cs-CZ"/>
        </w:rPr>
      </w:pPr>
      <w:r w:rsidRPr="003A33EB">
        <w:t xml:space="preserve">Možnost krytí v plné výši </w:t>
      </w:r>
      <w:r>
        <w:t xml:space="preserve"> 46 240,-- Kč </w:t>
      </w:r>
      <w:r w:rsidRPr="003A33EB">
        <w:t xml:space="preserve"> z FŽP MP.</w:t>
      </w:r>
    </w:p>
    <w:p w:rsidR="0039211B" w:rsidRDefault="0039211B" w:rsidP="0039211B">
      <w:pPr>
        <w:pStyle w:val="vlevo"/>
        <w:ind w:left="0" w:firstLine="0"/>
      </w:pPr>
    </w:p>
    <w:p w:rsidR="0039211B" w:rsidRDefault="0039211B" w:rsidP="0039211B">
      <w:pPr>
        <w:jc w:val="both"/>
        <w:rPr>
          <w:b/>
          <w:szCs w:val="20"/>
          <w:lang w:eastAsia="cs-CZ"/>
        </w:rPr>
      </w:pPr>
      <w:r>
        <w:rPr>
          <w:b/>
        </w:rPr>
        <w:t>7. Návrh termínů realizace a určení  zodpovědných  pracovníků</w:t>
      </w:r>
    </w:p>
    <w:p w:rsidR="0039211B" w:rsidRDefault="0039211B" w:rsidP="0039211B">
      <w:pPr>
        <w:jc w:val="both"/>
        <w:rPr>
          <w:szCs w:val="20"/>
          <w:lang w:eastAsia="cs-CZ"/>
        </w:rPr>
      </w:pPr>
      <w:r>
        <w:t>Dle ukládací části návrhu usnesení.</w:t>
      </w:r>
    </w:p>
    <w:p w:rsidR="0039211B" w:rsidRDefault="0039211B" w:rsidP="0039211B">
      <w:pPr>
        <w:jc w:val="both"/>
        <w:rPr>
          <w:szCs w:val="20"/>
          <w:lang w:eastAsia="cs-CZ"/>
        </w:rPr>
      </w:pPr>
    </w:p>
    <w:p w:rsidR="0039211B" w:rsidRDefault="0039211B" w:rsidP="0039211B">
      <w:pPr>
        <w:jc w:val="both"/>
        <w:rPr>
          <w:b/>
          <w:szCs w:val="20"/>
          <w:lang w:eastAsia="cs-CZ"/>
        </w:rPr>
      </w:pPr>
      <w:r>
        <w:rPr>
          <w:b/>
        </w:rPr>
        <w:t>8. Dříve vydaná usnesení orgánů  města nebo městských obvodů, která s tímto návrhem souvisí</w:t>
      </w:r>
    </w:p>
    <w:p w:rsidR="0039211B" w:rsidRDefault="0039211B" w:rsidP="0039211B">
      <w:pPr>
        <w:jc w:val="both"/>
      </w:pPr>
      <w:r>
        <w:t>Usnesení RMP ze dne 13.10.2011 č. 1278</w:t>
      </w:r>
    </w:p>
    <w:p w:rsidR="0039211B" w:rsidRDefault="0039211B" w:rsidP="0039211B">
      <w:pPr>
        <w:jc w:val="both"/>
      </w:pPr>
      <w:r>
        <w:t>Usnesení KŽP RMP ze dne 14.11.2012 č. 41</w:t>
      </w:r>
    </w:p>
    <w:p w:rsidR="0039211B" w:rsidRDefault="0039211B" w:rsidP="0039211B">
      <w:pPr>
        <w:jc w:val="both"/>
        <w:rPr>
          <w:szCs w:val="20"/>
          <w:lang w:eastAsia="cs-CZ"/>
        </w:rPr>
      </w:pPr>
      <w:r>
        <w:t>Usnesení RMP ze dne 20.12.2012 č. 1660</w:t>
      </w:r>
    </w:p>
    <w:p w:rsidR="0039211B" w:rsidRDefault="0039211B" w:rsidP="0039211B">
      <w:pPr>
        <w:jc w:val="both"/>
        <w:rPr>
          <w:szCs w:val="20"/>
          <w:lang w:eastAsia="cs-CZ"/>
        </w:rPr>
      </w:pPr>
    </w:p>
    <w:p w:rsidR="0039211B" w:rsidRDefault="0039211B" w:rsidP="0039211B">
      <w:pPr>
        <w:jc w:val="both"/>
        <w:rPr>
          <w:b/>
        </w:rPr>
      </w:pPr>
      <w:r>
        <w:rPr>
          <w:b/>
        </w:rPr>
        <w:t>9. Závazky či pohledávky vůči městu Plzni</w:t>
      </w:r>
    </w:p>
    <w:p w:rsidR="0039211B" w:rsidRPr="00152891" w:rsidRDefault="0039211B" w:rsidP="0039211B">
      <w:pPr>
        <w:jc w:val="both"/>
        <w:rPr>
          <w:szCs w:val="20"/>
          <w:lang w:eastAsia="cs-CZ"/>
        </w:rPr>
      </w:pPr>
      <w:r w:rsidRPr="00152891">
        <w:rPr>
          <w:szCs w:val="20"/>
          <w:lang w:eastAsia="cs-CZ"/>
        </w:rPr>
        <w:t>Nejsou.</w:t>
      </w:r>
    </w:p>
    <w:p w:rsidR="0039211B" w:rsidRDefault="0039211B" w:rsidP="0039211B">
      <w:pPr>
        <w:jc w:val="both"/>
        <w:rPr>
          <w:i/>
          <w:szCs w:val="20"/>
          <w:lang w:eastAsia="cs-CZ"/>
        </w:rPr>
      </w:pPr>
    </w:p>
    <w:p w:rsidR="0039211B" w:rsidRPr="002250FF" w:rsidRDefault="0039211B" w:rsidP="0039211B">
      <w:pPr>
        <w:jc w:val="both"/>
        <w:rPr>
          <w:b/>
        </w:rPr>
      </w:pPr>
      <w:r w:rsidRPr="002250FF">
        <w:rPr>
          <w:b/>
        </w:rPr>
        <w:t>10. Přílohy</w:t>
      </w:r>
    </w:p>
    <w:p w:rsidR="0039211B" w:rsidRDefault="0039211B" w:rsidP="0039211B">
      <w:pPr>
        <w:jc w:val="both"/>
      </w:pPr>
      <w:r>
        <w:t>Usnesení RMP ze dne 13.10.2011 č. 1278</w:t>
      </w:r>
    </w:p>
    <w:p w:rsidR="0039211B" w:rsidRDefault="0039211B" w:rsidP="0039211B">
      <w:pPr>
        <w:jc w:val="both"/>
      </w:pPr>
      <w:r>
        <w:t>Usnesení KŽP RMP ze dne 12.12.2012 č. 44</w:t>
      </w:r>
    </w:p>
    <w:p w:rsidR="0039211B" w:rsidRPr="007D59D3" w:rsidRDefault="0039211B" w:rsidP="0039211B">
      <w:pPr>
        <w:jc w:val="both"/>
        <w:rPr>
          <w:szCs w:val="20"/>
          <w:lang w:eastAsia="cs-CZ"/>
        </w:rPr>
      </w:pPr>
      <w:r>
        <w:t>Usnesení RMP ze dne 31.1.2013 č. 91</w:t>
      </w:r>
    </w:p>
    <w:p w:rsidR="003F08D1" w:rsidRDefault="0039211B" w:rsidP="0039211B">
      <w:pPr>
        <w:jc w:val="both"/>
      </w:pPr>
      <w:r>
        <w:t>Formulář žádosti o poskytnutí dotace z FŽP MP</w:t>
      </w:r>
      <w:bookmarkStart w:id="0" w:name="_GoBack"/>
      <w:bookmarkEnd w:id="0"/>
    </w:p>
    <w:sectPr w:rsidR="003F08D1" w:rsidSect="0039211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B"/>
    <w:rsid w:val="0039211B"/>
    <w:rsid w:val="003F08D1"/>
    <w:rsid w:val="00D47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211B"/>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39211B"/>
    <w:pPr>
      <w:ind w:left="-15" w:firstLine="15"/>
      <w:jc w:val="both"/>
    </w:pPr>
    <w:rPr>
      <w:noProof w:val="0"/>
      <w:szCs w:val="20"/>
      <w:lang w:eastAsia="cs-CZ"/>
    </w:rPr>
  </w:style>
  <w:style w:type="paragraph" w:customStyle="1" w:styleId="nadpcent">
    <w:name w:val="nadpcent"/>
    <w:basedOn w:val="Normln"/>
    <w:next w:val="vlevo"/>
    <w:autoRedefine/>
    <w:rsid w:val="0039211B"/>
    <w:pPr>
      <w:spacing w:before="600" w:after="480"/>
      <w:jc w:val="center"/>
    </w:pPr>
    <w:rPr>
      <w:b/>
      <w:caps/>
      <w:noProof w:val="0"/>
      <w:spacing w:val="22"/>
      <w:szCs w:val="20"/>
      <w:lang w:val="en-AU"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211B"/>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39211B"/>
    <w:pPr>
      <w:ind w:left="-15" w:firstLine="15"/>
      <w:jc w:val="both"/>
    </w:pPr>
    <w:rPr>
      <w:noProof w:val="0"/>
      <w:szCs w:val="20"/>
      <w:lang w:eastAsia="cs-CZ"/>
    </w:rPr>
  </w:style>
  <w:style w:type="paragraph" w:customStyle="1" w:styleId="nadpcent">
    <w:name w:val="nadpcent"/>
    <w:basedOn w:val="Normln"/>
    <w:next w:val="vlevo"/>
    <w:autoRedefine/>
    <w:rsid w:val="0039211B"/>
    <w:pPr>
      <w:spacing w:before="600" w:after="480"/>
      <w:jc w:val="center"/>
    </w:pPr>
    <w:rPr>
      <w:b/>
      <w:caps/>
      <w:noProof w:val="0"/>
      <w:spacing w:val="22"/>
      <w:szCs w:val="20"/>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1750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Thierlová Lenka</dc:creator>
  <cp:lastModifiedBy>Thierlová Lenka</cp:lastModifiedBy>
  <cp:revision>1</cp:revision>
  <dcterms:created xsi:type="dcterms:W3CDTF">2013-02-11T11:27:00Z</dcterms:created>
  <dcterms:modified xsi:type="dcterms:W3CDTF">2013-02-11T11:28:00Z</dcterms:modified>
</cp:coreProperties>
</file>