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37" w:rsidRDefault="00890137" w:rsidP="00890137">
      <w:pPr>
        <w:pStyle w:val="Nadpis2"/>
        <w:ind w:firstLine="0"/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tab/>
      </w:r>
    </w:p>
    <w:p w:rsidR="00890137" w:rsidRDefault="00890137" w:rsidP="00890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Důvodová zpráva</w:t>
      </w:r>
    </w:p>
    <w:p w:rsidR="00890137" w:rsidRDefault="00890137" w:rsidP="00890137"/>
    <w:p w:rsidR="00890137" w:rsidRDefault="00890137" w:rsidP="00890137">
      <w:pPr>
        <w:pStyle w:val="ostzahl"/>
      </w:pPr>
      <w:r>
        <w:t>Název problému a jeho charakteristika</w:t>
      </w:r>
    </w:p>
    <w:p w:rsidR="00890137" w:rsidRDefault="00890137" w:rsidP="00890137">
      <w:pPr>
        <w:pStyle w:val="vlevo"/>
      </w:pPr>
      <w:r>
        <w:t xml:space="preserve">Konečné majetkoprávní vypořádání mezi městem Plzní a Společenstvím vlastníků jednotek domu Mohylová č.p. 1466, Společenstvím vlastníků jednotek domu Mohylová č.p. 1468 a Společenstvím vlastníků jednotek domu Mohylová č.p. 1476 (dále jen SVJ), která zastupuje Ing. Ota Heller, v souvislosti se stavbou „Prodloužení vodovodu Lísková ulice“ v k.ú. Doubravka.     </w:t>
      </w:r>
    </w:p>
    <w:p w:rsidR="00890137" w:rsidRDefault="00890137" w:rsidP="00890137">
      <w:pPr>
        <w:pStyle w:val="ostzahl"/>
      </w:pPr>
      <w:r>
        <w:t>Konstatování současného stavu a jeho analýza</w:t>
      </w:r>
    </w:p>
    <w:p w:rsidR="00890137" w:rsidRDefault="00890137" w:rsidP="00890137">
      <w:pPr>
        <w:pStyle w:val="vlevo"/>
      </w:pPr>
      <w:r>
        <w:t xml:space="preserve">Město Plzeň uzavřelo v souvislosti s výše uvedenou stavbou v r. 2011 na základě usn. ZMP č. 451 ze dne 1. 9. 2011 (příloha č. 3) se všemi SVJ smlouvu o budoucí smlouvě kupní č. 2011/004189 ze dne 13. 9. 2011 na převod TI (vodovodní řad DN 100) za smluvní kupní cenu 1 % z pořizovacích nákladů na výstavbu převáděné TI. </w:t>
      </w:r>
    </w:p>
    <w:p w:rsidR="00890137" w:rsidRDefault="00890137" w:rsidP="00890137">
      <w:pPr>
        <w:pStyle w:val="vlevo"/>
      </w:pPr>
    </w:p>
    <w:p w:rsidR="00890137" w:rsidRDefault="00890137" w:rsidP="00890137">
      <w:pPr>
        <w:pStyle w:val="vlevo"/>
      </w:pPr>
      <w:r>
        <w:t xml:space="preserve">Stavba byla dokončena a zkolaudována a je bez vad a nedodělků.  Zástupce všech SVJ doložil na MAJ kolaudační souhlas č.j. MMP/013623/13 ze dne 17. 1. 2013 a všechny požadované podklady a požádal o uzavření konečné kupní smlouvy na převod TI do majetku města Plzně (příloha č. 1). </w:t>
      </w:r>
    </w:p>
    <w:p w:rsidR="00890137" w:rsidRDefault="00890137" w:rsidP="00890137">
      <w:pPr>
        <w:pStyle w:val="vlevo"/>
      </w:pPr>
      <w:r>
        <w:t xml:space="preserve">Pozemky dotčené stavbou TI parc. č. 422/1 a 422/76, oba k.ú. Doubravka, jsou v majetku města Plzně. </w:t>
      </w:r>
    </w:p>
    <w:p w:rsidR="00890137" w:rsidRDefault="00890137" w:rsidP="00890137">
      <w:pPr>
        <w:pStyle w:val="vlevo"/>
        <w:rPr>
          <w:szCs w:val="24"/>
        </w:rPr>
      </w:pPr>
      <w:r>
        <w:t xml:space="preserve">Stavba TI bude do majetku města Plzně převedena </w:t>
      </w:r>
      <w:r>
        <w:rPr>
          <w:szCs w:val="24"/>
        </w:rPr>
        <w:t>za smluvní kupní cenu 4 345,-Kč, která činí 1 % doložených pořizovacích nákladů na realizaci výše uvedené stavby vodovodního řadu DN 100.</w:t>
      </w:r>
    </w:p>
    <w:p w:rsidR="00890137" w:rsidRDefault="00890137" w:rsidP="00890137">
      <w:pPr>
        <w:pStyle w:val="vlevo"/>
        <w:rPr>
          <w:szCs w:val="24"/>
        </w:rPr>
      </w:pPr>
      <w:r>
        <w:rPr>
          <w:szCs w:val="24"/>
        </w:rPr>
        <w:t>Stanovisko ORP je souhlasné (příloha č. 2).</w:t>
      </w:r>
    </w:p>
    <w:p w:rsidR="00890137" w:rsidRDefault="00890137" w:rsidP="00890137">
      <w:pPr>
        <w:pStyle w:val="vlevo"/>
        <w:rPr>
          <w:szCs w:val="24"/>
        </w:rPr>
      </w:pPr>
      <w:r>
        <w:rPr>
          <w:szCs w:val="24"/>
        </w:rPr>
        <w:t xml:space="preserve">RMP dne 28. 2. 2013 </w:t>
      </w:r>
      <w:r w:rsidRPr="000E4834">
        <w:rPr>
          <w:szCs w:val="24"/>
        </w:rPr>
        <w:t xml:space="preserve">přijala usnesení č. </w:t>
      </w:r>
      <w:r w:rsidR="000E4834" w:rsidRPr="000E4834">
        <w:rPr>
          <w:szCs w:val="24"/>
        </w:rPr>
        <w:t>202</w:t>
      </w:r>
      <w:r w:rsidRPr="000E4834">
        <w:rPr>
          <w:szCs w:val="24"/>
        </w:rPr>
        <w:t xml:space="preserve">, </w:t>
      </w:r>
      <w:r>
        <w:rPr>
          <w:szCs w:val="24"/>
        </w:rPr>
        <w:t>kterým souhlasí s uzavřením kupní smlouvy na převod TI do majetku města Plzně (příloha č.  5).</w:t>
      </w:r>
    </w:p>
    <w:p w:rsidR="00890137" w:rsidRDefault="00890137" w:rsidP="00890137">
      <w:pPr>
        <w:pStyle w:val="ostzahl"/>
      </w:pPr>
      <w:r>
        <w:t>Předpokládaný cílový stav</w:t>
      </w:r>
    </w:p>
    <w:p w:rsidR="00890137" w:rsidRDefault="00890137" w:rsidP="00890137">
      <w:pPr>
        <w:pStyle w:val="vlevo"/>
        <w:ind w:firstLine="0"/>
      </w:pPr>
      <w:r>
        <w:t>Město Plzeň získá do svého majetku nově vybudovanou TI – vodovodní řad DN 100 v k.ú. Doubravka.</w:t>
      </w:r>
    </w:p>
    <w:p w:rsidR="00890137" w:rsidRDefault="00890137" w:rsidP="00890137">
      <w:pPr>
        <w:pStyle w:val="ostzahl"/>
      </w:pPr>
      <w:r>
        <w:t>Navrhované varianty řešení</w:t>
      </w:r>
    </w:p>
    <w:p w:rsidR="00890137" w:rsidRDefault="00890137" w:rsidP="00890137">
      <w:pPr>
        <w:pStyle w:val="vlevo"/>
        <w:ind w:left="0" w:firstLine="357"/>
      </w:pPr>
      <w:r>
        <w:t>Viz návrh usnesení.</w:t>
      </w:r>
    </w:p>
    <w:p w:rsidR="00890137" w:rsidRDefault="00890137" w:rsidP="00890137">
      <w:pPr>
        <w:pStyle w:val="ostzahl"/>
      </w:pPr>
      <w:r>
        <w:t>Doporučená varianta řešení</w:t>
      </w:r>
    </w:p>
    <w:p w:rsidR="00890137" w:rsidRDefault="00890137" w:rsidP="00890137">
      <w:pPr>
        <w:pStyle w:val="Paragrafneslovan"/>
      </w:pPr>
      <w:r>
        <w:t>Viz návrh usnesení.</w:t>
      </w:r>
    </w:p>
    <w:p w:rsidR="00890137" w:rsidRDefault="00890137" w:rsidP="00890137">
      <w:pPr>
        <w:pStyle w:val="ostzahl"/>
      </w:pPr>
      <w:r>
        <w:t>Finanční nároky řešení a možnosti finančního krytí</w:t>
      </w:r>
    </w:p>
    <w:p w:rsidR="00890137" w:rsidRDefault="00890137" w:rsidP="00890137">
      <w:pPr>
        <w:pStyle w:val="vlevo"/>
        <w:ind w:left="357" w:firstLine="0"/>
      </w:pPr>
      <w:r>
        <w:t>Viz návrh usnesení.</w:t>
      </w:r>
    </w:p>
    <w:p w:rsidR="00890137" w:rsidRDefault="00890137" w:rsidP="00890137">
      <w:pPr>
        <w:pStyle w:val="ostzahl"/>
      </w:pPr>
      <w:r>
        <w:t>Návrh termínů realizace a určení zodpovědných pracovníků</w:t>
      </w:r>
    </w:p>
    <w:p w:rsidR="00890137" w:rsidRDefault="00890137" w:rsidP="00890137">
      <w:pPr>
        <w:pStyle w:val="vlevo"/>
        <w:ind w:left="0" w:firstLine="357"/>
      </w:pPr>
      <w:r>
        <w:t>Viz návrh usnesení.</w:t>
      </w:r>
    </w:p>
    <w:p w:rsidR="00890137" w:rsidRDefault="00890137" w:rsidP="00890137">
      <w:pPr>
        <w:pStyle w:val="ostzahl"/>
      </w:pPr>
      <w:r>
        <w:t>Dříve přijatá usnesení orgánů města nebo městských obvodů, která s tímto návrhem souvisejí</w:t>
      </w:r>
    </w:p>
    <w:p w:rsidR="00890137" w:rsidRDefault="00890137" w:rsidP="00890137">
      <w:pPr>
        <w:pStyle w:val="vlevo"/>
        <w:ind w:left="0" w:firstLine="357"/>
      </w:pPr>
      <w:r>
        <w:t>Usnesení ZMP č. 451 ze dne 1. 9. 2011 (smlouva budoucí).</w:t>
      </w:r>
    </w:p>
    <w:p w:rsidR="00890137" w:rsidRPr="000E4834" w:rsidRDefault="00890137" w:rsidP="00890137">
      <w:pPr>
        <w:pStyle w:val="vlevo"/>
        <w:ind w:left="0" w:firstLine="357"/>
      </w:pPr>
      <w:r w:rsidRPr="000E4834">
        <w:t xml:space="preserve">Usnesení RMP č. </w:t>
      </w:r>
      <w:r w:rsidR="000E4834" w:rsidRPr="000E4834">
        <w:t>202</w:t>
      </w:r>
      <w:r w:rsidRPr="000E4834">
        <w:t xml:space="preserve"> ze dne 28. 2. 2013.</w:t>
      </w:r>
    </w:p>
    <w:p w:rsidR="00890137" w:rsidRDefault="00890137" w:rsidP="00890137">
      <w:pPr>
        <w:pStyle w:val="vlevo"/>
        <w:ind w:left="0" w:firstLine="357"/>
      </w:pPr>
    </w:p>
    <w:p w:rsidR="00890137" w:rsidRDefault="00890137" w:rsidP="00890137">
      <w:pPr>
        <w:pStyle w:val="vlevo"/>
        <w:ind w:left="0" w:firstLine="357"/>
      </w:pPr>
    </w:p>
    <w:p w:rsidR="00890137" w:rsidRDefault="00890137" w:rsidP="00890137"/>
    <w:p w:rsidR="00890137" w:rsidRDefault="00890137" w:rsidP="00890137">
      <w:pPr>
        <w:pStyle w:val="ostzahl"/>
      </w:pPr>
      <w:r>
        <w:t>Závazky či pohledávky vůči městu Plzni</w:t>
      </w:r>
    </w:p>
    <w:p w:rsidR="00890137" w:rsidRDefault="00890137" w:rsidP="00890137">
      <w:pPr>
        <w:pStyle w:val="vlevo"/>
        <w:ind w:left="0" w:firstLine="0"/>
      </w:pPr>
      <w:r>
        <w:t>Dle závazných pravidel pro zjišťování závazků žadatele při nakládání s majetkem města Plzně bylo prošetřeno a žádná pohledávka nebyla zjištěna.</w:t>
      </w:r>
    </w:p>
    <w:p w:rsidR="00890137" w:rsidRDefault="00890137" w:rsidP="00890137">
      <w:pPr>
        <w:pStyle w:val="vlevo"/>
      </w:pPr>
    </w:p>
    <w:p w:rsidR="00890137" w:rsidRDefault="00890137" w:rsidP="00890137">
      <w:pPr>
        <w:pStyle w:val="ostzahl"/>
      </w:pPr>
      <w:r>
        <w:t>Přílohy</w:t>
      </w:r>
    </w:p>
    <w:p w:rsidR="00890137" w:rsidRDefault="00890137" w:rsidP="00890137">
      <w:pPr>
        <w:pStyle w:val="vlevo"/>
        <w:ind w:left="0" w:firstLine="0"/>
      </w:pPr>
      <w:r>
        <w:t>Příloha č. 1 - žádost SVJ + pořiz. náklady</w:t>
      </w:r>
    </w:p>
    <w:p w:rsidR="00890137" w:rsidRDefault="00890137" w:rsidP="00890137">
      <w:pPr>
        <w:pStyle w:val="vlevo"/>
        <w:ind w:left="0" w:firstLine="0"/>
      </w:pPr>
      <w:r>
        <w:t>Příloha č. 2 - stanovisko ORP MMP + zákres</w:t>
      </w:r>
    </w:p>
    <w:p w:rsidR="00890137" w:rsidRDefault="00890137" w:rsidP="00890137">
      <w:pPr>
        <w:pStyle w:val="vlevo"/>
        <w:ind w:left="0" w:firstLine="0"/>
      </w:pPr>
      <w:r>
        <w:t>Příloha č. 3 – usn. ZMP č. 451/2011.</w:t>
      </w:r>
    </w:p>
    <w:p w:rsidR="00890137" w:rsidRDefault="00890137" w:rsidP="00890137">
      <w:pPr>
        <w:pStyle w:val="vlevo"/>
        <w:ind w:left="0" w:firstLine="0"/>
      </w:pPr>
      <w:r>
        <w:t>Příloha č. 4 – snímky map:</w:t>
      </w:r>
    </w:p>
    <w:p w:rsidR="00890137" w:rsidRDefault="00890137" w:rsidP="00890137">
      <w:pPr>
        <w:pStyle w:val="vlevo"/>
        <w:ind w:left="708" w:firstLine="708"/>
      </w:pPr>
      <w:r>
        <w:t>- modrá mapa se zákresem</w:t>
      </w:r>
    </w:p>
    <w:p w:rsidR="00890137" w:rsidRDefault="00890137" w:rsidP="00890137">
      <w:pPr>
        <w:pStyle w:val="vlevo"/>
        <w:ind w:left="708" w:firstLine="708"/>
      </w:pPr>
      <w:r>
        <w:t>- letecký snímek</w:t>
      </w:r>
    </w:p>
    <w:p w:rsidR="00890137" w:rsidRDefault="00890137" w:rsidP="00890137">
      <w:pPr>
        <w:pStyle w:val="vlevo"/>
        <w:ind w:left="1416" w:firstLine="0"/>
      </w:pPr>
      <w:r>
        <w:t>- územní plán.</w:t>
      </w:r>
    </w:p>
    <w:p w:rsidR="00890137" w:rsidRDefault="00890137" w:rsidP="00890137">
      <w:pPr>
        <w:pStyle w:val="vlevo"/>
        <w:ind w:left="0" w:firstLine="0"/>
      </w:pPr>
      <w:r>
        <w:t xml:space="preserve">Příloha č. 5 – usn. RMP č. </w:t>
      </w:r>
      <w:r w:rsidR="000E4834">
        <w:t>202</w:t>
      </w:r>
      <w:r w:rsidR="00063AD4">
        <w:t>/2013</w:t>
      </w:r>
      <w:bookmarkStart w:id="0" w:name="_GoBack"/>
      <w:bookmarkEnd w:id="0"/>
    </w:p>
    <w:p w:rsidR="00890137" w:rsidRDefault="00890137" w:rsidP="00890137">
      <w:pPr>
        <w:pStyle w:val="vlevo"/>
        <w:ind w:left="1416" w:firstLine="0"/>
      </w:pPr>
    </w:p>
    <w:p w:rsidR="00890137" w:rsidRDefault="00890137" w:rsidP="00890137">
      <w:pPr>
        <w:pStyle w:val="vlevo"/>
        <w:ind w:left="1416" w:firstLine="0"/>
      </w:pPr>
    </w:p>
    <w:p w:rsidR="00890137" w:rsidRDefault="00890137" w:rsidP="00890137">
      <w:pPr>
        <w:pStyle w:val="vlevo"/>
        <w:ind w:left="0" w:firstLine="0"/>
      </w:pPr>
    </w:p>
    <w:p w:rsidR="00890137" w:rsidRDefault="00890137" w:rsidP="00890137">
      <w:pPr>
        <w:pStyle w:val="vlevo"/>
        <w:ind w:left="0" w:firstLine="0"/>
      </w:pPr>
    </w:p>
    <w:p w:rsidR="00890137" w:rsidRDefault="00890137" w:rsidP="00890137"/>
    <w:p w:rsidR="00890137" w:rsidRDefault="00890137" w:rsidP="00890137"/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2FD4"/>
    <w:multiLevelType w:val="singleLevel"/>
    <w:tmpl w:val="F6720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7"/>
    <w:rsid w:val="00063AD4"/>
    <w:rsid w:val="000E4834"/>
    <w:rsid w:val="00890137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137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0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9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vlevoChar">
    <w:name w:val="vlevo Char"/>
    <w:link w:val="vlevo"/>
    <w:locked/>
    <w:rsid w:val="008901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90137"/>
    <w:pPr>
      <w:ind w:left="360" w:firstLine="36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90137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890137"/>
    <w:pPr>
      <w:tabs>
        <w:tab w:val="left" w:pos="-142"/>
        <w:tab w:val="left" w:pos="142"/>
        <w:tab w:val="left" w:pos="567"/>
      </w:tabs>
      <w:ind w:left="426" w:firstLine="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8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137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0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9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vlevoChar">
    <w:name w:val="vlevo Char"/>
    <w:link w:val="vlevo"/>
    <w:locked/>
    <w:rsid w:val="008901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890137"/>
    <w:pPr>
      <w:ind w:left="360" w:firstLine="36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90137"/>
    <w:pPr>
      <w:numPr>
        <w:numId w:val="1"/>
      </w:numPr>
      <w:spacing w:before="120" w:after="120"/>
    </w:pPr>
    <w:rPr>
      <w:b/>
      <w:spacing w:val="22"/>
      <w:sz w:val="24"/>
    </w:rPr>
  </w:style>
  <w:style w:type="paragraph" w:customStyle="1" w:styleId="Paragrafneslovan">
    <w:name w:val="Paragraf nečíslovaný"/>
    <w:basedOn w:val="Normln"/>
    <w:autoRedefine/>
    <w:rsid w:val="00890137"/>
    <w:pPr>
      <w:tabs>
        <w:tab w:val="left" w:pos="-142"/>
        <w:tab w:val="left" w:pos="142"/>
        <w:tab w:val="left" w:pos="567"/>
      </w:tabs>
      <w:ind w:left="426" w:firstLine="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8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3</cp:revision>
  <cp:lastPrinted>2013-03-04T08:55:00Z</cp:lastPrinted>
  <dcterms:created xsi:type="dcterms:W3CDTF">2013-02-26T09:54:00Z</dcterms:created>
  <dcterms:modified xsi:type="dcterms:W3CDTF">2013-03-04T11:21:00Z</dcterms:modified>
</cp:coreProperties>
</file>