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C2" w:rsidRDefault="001513C2" w:rsidP="001513C2">
      <w:pPr>
        <w:pStyle w:val="nadpcent"/>
      </w:pPr>
      <w:r>
        <w:t>Důvodová zpráva</w:t>
      </w:r>
    </w:p>
    <w:p w:rsidR="001513C2" w:rsidRDefault="001513C2" w:rsidP="001513C2">
      <w:pPr>
        <w:pStyle w:val="ostzahl"/>
        <w:rPr>
          <w:lang w:val="en-AU"/>
        </w:rPr>
      </w:pPr>
      <w:r>
        <w:rPr>
          <w:lang w:val="en-AU"/>
        </w:rPr>
        <w:t>Název problému a jeho charakteristika</w:t>
      </w:r>
    </w:p>
    <w:p w:rsidR="001513C2" w:rsidRDefault="001513C2" w:rsidP="001513C2">
      <w:pPr>
        <w:pStyle w:val="vlevo"/>
        <w:rPr>
          <w:lang w:val="en-AU"/>
        </w:rPr>
      </w:pPr>
      <w:r>
        <w:tab/>
        <w:t>Majetkoprávní vypořádání pozemků pod komunikacemi na území města Plzně mezi městem Plzeň a Plzeňským krajem formou vzájemných darů.</w:t>
      </w:r>
    </w:p>
    <w:p w:rsidR="001513C2" w:rsidRDefault="001513C2" w:rsidP="001513C2">
      <w:pPr>
        <w:pStyle w:val="ostzahl"/>
        <w:rPr>
          <w:lang w:val="en-AU"/>
        </w:rPr>
      </w:pPr>
      <w:r>
        <w:rPr>
          <w:lang w:val="en-AU"/>
        </w:rPr>
        <w:t>Konstatování současného stavu a jeho analýza</w:t>
      </w: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  <w:r w:rsidRPr="008F0137">
        <w:rPr>
          <w:szCs w:val="24"/>
        </w:rPr>
        <w:t>Společnost Český Real a.s. v rámci své investiční výstavby realizovala i stavbu TDI – stavby přechodového ostrůvku na pozemku parc. č. 12811/35 k. ú. Plzeň 4. Stavba přechodového ostrůvku byla převedena do majetku města Plzně, do správy SVSMP. Na pozemku parc. č. 12811/35 k. ú. Plzeň 4 se nachází stavba přechodového ostrůvku a na pozemku parc. č. 12881/22 k. ú. Plzeň 4 se nachází stavba chodníku s cyklostezkou.</w:t>
      </w:r>
      <w:r>
        <w:rPr>
          <w:szCs w:val="24"/>
        </w:rPr>
        <w:t xml:space="preserve"> Pozemky parc. č. 12811/35 a parc. č. 12811/22 oba k. ú. Plzeň 4 jsou ve vlastnictví Plzeňského kraje.</w:t>
      </w:r>
      <w:r>
        <w:rPr>
          <w:szCs w:val="24"/>
        </w:rPr>
        <w:tab/>
        <w:t>K pozemku parc. č. 12811/22 v k. ú. Plzeň 4 je zřízeno:</w:t>
      </w:r>
    </w:p>
    <w:p w:rsidR="001513C2" w:rsidRDefault="001513C2" w:rsidP="001513C2">
      <w:pPr>
        <w:tabs>
          <w:tab w:val="left" w:pos="284"/>
        </w:tabs>
        <w:rPr>
          <w:szCs w:val="24"/>
        </w:rPr>
      </w:pPr>
      <w:r>
        <w:rPr>
          <w:szCs w:val="24"/>
        </w:rPr>
        <w:t>- věcné břemeno zřizování a provozování vedení zařízení distribuční soustavy pro oprávněného ČEZ Distribuce, a.s.</w:t>
      </w:r>
    </w:p>
    <w:p w:rsidR="001513C2" w:rsidRDefault="001513C2" w:rsidP="001513C2">
      <w:pPr>
        <w:tabs>
          <w:tab w:val="left" w:pos="284"/>
        </w:tabs>
        <w:rPr>
          <w:szCs w:val="24"/>
        </w:rPr>
      </w:pPr>
      <w:r>
        <w:rPr>
          <w:szCs w:val="24"/>
        </w:rPr>
        <w:t>- věcné břemeno zřizování a provozování vedení kanalizační přípojky pro oprávněného Český Real, a.s.</w:t>
      </w:r>
    </w:p>
    <w:p w:rsidR="001513C2" w:rsidRDefault="001513C2" w:rsidP="001513C2">
      <w:pPr>
        <w:tabs>
          <w:tab w:val="left" w:pos="284"/>
        </w:tabs>
        <w:rPr>
          <w:szCs w:val="24"/>
        </w:rPr>
      </w:pPr>
      <w:r>
        <w:rPr>
          <w:szCs w:val="24"/>
        </w:rPr>
        <w:t>- věcné břemeno zřizování a provozování vedení vodovodní přípojky pro oprávněného Český Real, a.s.</w:t>
      </w:r>
    </w:p>
    <w:p w:rsidR="001513C2" w:rsidRDefault="001513C2" w:rsidP="001513C2">
      <w:pPr>
        <w:tabs>
          <w:tab w:val="left" w:pos="284"/>
        </w:tabs>
        <w:rPr>
          <w:szCs w:val="24"/>
        </w:rPr>
      </w:pPr>
      <w:r>
        <w:rPr>
          <w:szCs w:val="24"/>
        </w:rPr>
        <w:t>- věcné břemeno zřizování a provozování vedení pro oprávněného Telefónica Czech Republic, a.s.</w:t>
      </w:r>
    </w:p>
    <w:p w:rsidR="001513C2" w:rsidRDefault="001513C2" w:rsidP="001513C2">
      <w:pPr>
        <w:tabs>
          <w:tab w:val="left" w:pos="284"/>
        </w:tabs>
        <w:rPr>
          <w:szCs w:val="24"/>
        </w:rPr>
      </w:pPr>
      <w:r>
        <w:rPr>
          <w:szCs w:val="24"/>
        </w:rPr>
        <w:t xml:space="preserve">Výše uvedená věcná břemena jsou zapsána v oddílu „C“ na LV č. 6762, k. ú. Plzeň 4. </w:t>
      </w: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  <w:r>
        <w:rPr>
          <w:szCs w:val="24"/>
        </w:rPr>
        <w:t>V případě realizace převodu pozemku parc. č. 12811/22 k. ú. Plzeň 4 z majetku Plzeňského kraje do majetku města Plzně, město přejímá tato věcná břemena.</w:t>
      </w:r>
    </w:p>
    <w:p w:rsidR="001513C2" w:rsidRPr="008F0137" w:rsidRDefault="001513C2" w:rsidP="001513C2">
      <w:pPr>
        <w:tabs>
          <w:tab w:val="left" w:pos="284"/>
        </w:tabs>
        <w:ind w:firstLine="284"/>
        <w:rPr>
          <w:szCs w:val="24"/>
        </w:rPr>
      </w:pPr>
      <w:r>
        <w:rPr>
          <w:szCs w:val="24"/>
        </w:rPr>
        <w:t xml:space="preserve">Pozemky parc. č. 12811/34 a parc. č. 12623/49 oba k. ú. Plzeň 4 </w:t>
      </w:r>
      <w:r w:rsidRPr="008F0137">
        <w:rPr>
          <w:szCs w:val="24"/>
        </w:rPr>
        <w:t>j</w:t>
      </w:r>
      <w:r>
        <w:rPr>
          <w:szCs w:val="24"/>
        </w:rPr>
        <w:t>sou</w:t>
      </w:r>
      <w:r w:rsidRPr="008F0137">
        <w:rPr>
          <w:szCs w:val="24"/>
        </w:rPr>
        <w:t xml:space="preserve"> součástí krajské silnice II/233</w:t>
      </w:r>
      <w:r>
        <w:rPr>
          <w:szCs w:val="24"/>
        </w:rPr>
        <w:t xml:space="preserve"> a z tohoto důvodu budou bezúplatně převedeny z majetku města Plzně do majetku Plzeňského kraje</w:t>
      </w:r>
      <w:r w:rsidRPr="008F0137">
        <w:rPr>
          <w:szCs w:val="24"/>
        </w:rPr>
        <w:t xml:space="preserve">. </w:t>
      </w:r>
      <w:r>
        <w:rPr>
          <w:szCs w:val="24"/>
        </w:rPr>
        <w:t>K pozemku parc. č. 12623/49 v k. ú. Plzeň 4 je zřízeno věcné břemeno zřizování a provozování vedení pro oprávněného Telefónica Czech Republic, a.s. Věcné břemeno je zapsáno v oddílu „C“ na LV č. 1, k. ú. Plzeň 4.</w:t>
      </w: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  <w:r w:rsidRPr="008F0137">
        <w:rPr>
          <w:szCs w:val="24"/>
        </w:rPr>
        <w:t>Technický úřad MMP navrhuje tudíž realizovat p</w:t>
      </w:r>
      <w:r>
        <w:rPr>
          <w:szCs w:val="24"/>
        </w:rPr>
        <w:t>řevod formou vzájemných darů, a </w:t>
      </w:r>
      <w:r w:rsidRPr="008F0137">
        <w:rPr>
          <w:szCs w:val="24"/>
        </w:rPr>
        <w:t>to následovně:</w:t>
      </w:r>
    </w:p>
    <w:p w:rsidR="001513C2" w:rsidRPr="001513C2" w:rsidRDefault="001513C2" w:rsidP="001513C2">
      <w:pPr>
        <w:pStyle w:val="Normlnodsazen"/>
      </w:pPr>
    </w:p>
    <w:p w:rsidR="001513C2" w:rsidRPr="008F0137" w:rsidRDefault="001513C2" w:rsidP="001513C2">
      <w:pPr>
        <w:tabs>
          <w:tab w:val="left" w:pos="284"/>
        </w:tabs>
        <w:rPr>
          <w:szCs w:val="24"/>
        </w:rPr>
      </w:pPr>
      <w:r w:rsidRPr="008F0137">
        <w:rPr>
          <w:szCs w:val="24"/>
        </w:rPr>
        <w:t>z majetku města Plzně:</w:t>
      </w:r>
    </w:p>
    <w:p w:rsidR="001513C2" w:rsidRPr="008F0137" w:rsidRDefault="001513C2" w:rsidP="001513C2">
      <w:pPr>
        <w:numPr>
          <w:ilvl w:val="0"/>
          <w:numId w:val="2"/>
        </w:numPr>
        <w:tabs>
          <w:tab w:val="left" w:pos="284"/>
        </w:tabs>
        <w:rPr>
          <w:szCs w:val="24"/>
        </w:rPr>
      </w:pPr>
      <w:r w:rsidRPr="008F0137">
        <w:rPr>
          <w:szCs w:val="24"/>
        </w:rPr>
        <w:t>pozemek parc. č. 12811/34 o celkové výměře 69 m</w:t>
      </w:r>
      <w:r w:rsidRPr="008F0137">
        <w:rPr>
          <w:szCs w:val="24"/>
          <w:vertAlign w:val="superscript"/>
        </w:rPr>
        <w:t>2</w:t>
      </w:r>
      <w:r w:rsidRPr="008F0137">
        <w:rPr>
          <w:szCs w:val="24"/>
        </w:rPr>
        <w:t>, ostatní plocha, ostatní komunikace</w:t>
      </w:r>
    </w:p>
    <w:p w:rsidR="001513C2" w:rsidRPr="008F0137" w:rsidRDefault="001513C2" w:rsidP="001513C2">
      <w:pPr>
        <w:numPr>
          <w:ilvl w:val="0"/>
          <w:numId w:val="2"/>
        </w:numPr>
        <w:tabs>
          <w:tab w:val="left" w:pos="284"/>
        </w:tabs>
        <w:rPr>
          <w:szCs w:val="24"/>
        </w:rPr>
      </w:pPr>
      <w:r w:rsidRPr="008F0137">
        <w:rPr>
          <w:szCs w:val="24"/>
        </w:rPr>
        <w:t>pozemek parc. č. 12623/49 o celkové výměře 177 m</w:t>
      </w:r>
      <w:r w:rsidRPr="008F0137">
        <w:rPr>
          <w:szCs w:val="24"/>
          <w:vertAlign w:val="superscript"/>
        </w:rPr>
        <w:t>2</w:t>
      </w:r>
      <w:r w:rsidRPr="008F0137">
        <w:rPr>
          <w:szCs w:val="24"/>
        </w:rPr>
        <w:t>, ostatní plocha, ostatní komunikace</w:t>
      </w:r>
    </w:p>
    <w:p w:rsidR="001513C2" w:rsidRDefault="001513C2" w:rsidP="001513C2">
      <w:pPr>
        <w:tabs>
          <w:tab w:val="left" w:pos="284"/>
        </w:tabs>
        <w:rPr>
          <w:szCs w:val="24"/>
        </w:rPr>
      </w:pPr>
      <w:r w:rsidRPr="008F0137">
        <w:rPr>
          <w:szCs w:val="24"/>
        </w:rPr>
        <w:t>oba zaps. na LV č. 1 pro k. ú. Plzeň 4</w:t>
      </w:r>
    </w:p>
    <w:p w:rsidR="001513C2" w:rsidRPr="001513C2" w:rsidRDefault="001513C2" w:rsidP="001513C2">
      <w:pPr>
        <w:pStyle w:val="Normlnodsazen"/>
      </w:pPr>
    </w:p>
    <w:p w:rsidR="001513C2" w:rsidRPr="008F0137" w:rsidRDefault="001513C2" w:rsidP="001513C2">
      <w:pPr>
        <w:tabs>
          <w:tab w:val="left" w:pos="284"/>
        </w:tabs>
        <w:rPr>
          <w:szCs w:val="24"/>
        </w:rPr>
      </w:pPr>
      <w:r w:rsidRPr="008F0137">
        <w:rPr>
          <w:szCs w:val="24"/>
        </w:rPr>
        <w:t>z majetku Plzeňského kraje:</w:t>
      </w:r>
    </w:p>
    <w:p w:rsidR="001513C2" w:rsidRPr="008F0137" w:rsidRDefault="001513C2" w:rsidP="001513C2">
      <w:pPr>
        <w:numPr>
          <w:ilvl w:val="0"/>
          <w:numId w:val="2"/>
        </w:numPr>
        <w:tabs>
          <w:tab w:val="left" w:pos="284"/>
        </w:tabs>
        <w:rPr>
          <w:szCs w:val="24"/>
        </w:rPr>
      </w:pPr>
      <w:r w:rsidRPr="008F0137">
        <w:rPr>
          <w:szCs w:val="24"/>
        </w:rPr>
        <w:t>pozemek parc. č. 12811/35 o výměře 30 m</w:t>
      </w:r>
      <w:r w:rsidRPr="008F0137">
        <w:rPr>
          <w:szCs w:val="24"/>
          <w:vertAlign w:val="superscript"/>
        </w:rPr>
        <w:t>2</w:t>
      </w:r>
      <w:r w:rsidRPr="008F0137">
        <w:rPr>
          <w:szCs w:val="24"/>
        </w:rPr>
        <w:t>, ostatní plocha, silnice</w:t>
      </w:r>
    </w:p>
    <w:p w:rsidR="001513C2" w:rsidRPr="008F0137" w:rsidRDefault="001513C2" w:rsidP="001513C2">
      <w:pPr>
        <w:numPr>
          <w:ilvl w:val="0"/>
          <w:numId w:val="2"/>
        </w:numPr>
        <w:tabs>
          <w:tab w:val="left" w:pos="284"/>
        </w:tabs>
        <w:rPr>
          <w:szCs w:val="24"/>
        </w:rPr>
      </w:pPr>
      <w:r w:rsidRPr="008F0137">
        <w:rPr>
          <w:szCs w:val="24"/>
        </w:rPr>
        <w:t>pozemek parc. č. 12811/22 o výměře 160 m</w:t>
      </w:r>
      <w:r w:rsidRPr="008F0137">
        <w:rPr>
          <w:szCs w:val="24"/>
          <w:vertAlign w:val="superscript"/>
        </w:rPr>
        <w:t>2</w:t>
      </w:r>
      <w:r w:rsidRPr="008F0137">
        <w:rPr>
          <w:szCs w:val="24"/>
        </w:rPr>
        <w:t>, ostatní plocha, ostatní komunikace</w:t>
      </w:r>
    </w:p>
    <w:p w:rsidR="001513C2" w:rsidRDefault="001513C2" w:rsidP="001513C2">
      <w:pPr>
        <w:tabs>
          <w:tab w:val="left" w:pos="284"/>
        </w:tabs>
        <w:rPr>
          <w:szCs w:val="24"/>
        </w:rPr>
      </w:pPr>
      <w:r w:rsidRPr="008F0137">
        <w:rPr>
          <w:szCs w:val="24"/>
        </w:rPr>
        <w:t>oba zaps. na LV č. 6762 pro k. ú. Plzeň 4.</w:t>
      </w: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  <w:r>
        <w:rPr>
          <w:szCs w:val="24"/>
        </w:rPr>
        <w:t>Usnesením Rady MO Plzeň 4 č. 237/12 ze dne 28. 11. 2012 bylo doporučeno RMP souhlasit a ZMP schválit vzájemné darování pozemků v k. ú. Plzeň 4 – Jateční ulice.</w:t>
      </w: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  <w:r>
        <w:rPr>
          <w:szCs w:val="24"/>
        </w:rPr>
        <w:t>Zastupitelstvo Plzeňského kraje svým usnesením č. 1263/12 a usnesením č. 1257/12 ze dne 10. 9. 2012 schvaluje výše uvedenou majetkovou transakci.</w:t>
      </w: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  <w:r>
        <w:rPr>
          <w:szCs w:val="24"/>
        </w:rPr>
        <w:t>Dle platného územního plánu se předmětné pozemky nachází v plochách “Dálnice a hlavní komunikační síť“.</w:t>
      </w: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  <w:r>
        <w:rPr>
          <w:szCs w:val="24"/>
        </w:rPr>
        <w:t>Město Plzeň je vlastníkem pozemku parc. č. 12811/34 k. ú. Plzeň 4 na základě Smlouvy darovací ze dne 26. 3. 2009 a pozemku parc. č. 12623/49 k. ú. Plzeň 4 na základě Smlouvy směnné ze dne 19. 12. 2011. Nabývací tituly jsou založeny na odboru EVID.</w:t>
      </w:r>
    </w:p>
    <w:p w:rsidR="001513C2" w:rsidRDefault="001513C2" w:rsidP="001513C2">
      <w:pPr>
        <w:tabs>
          <w:tab w:val="left" w:pos="284"/>
        </w:tabs>
        <w:ind w:firstLine="284"/>
        <w:rPr>
          <w:szCs w:val="24"/>
        </w:rPr>
      </w:pPr>
      <w:r>
        <w:rPr>
          <w:szCs w:val="24"/>
        </w:rPr>
        <w:t>Majetkoprávní vypořádání nemovití bude realizováno formou dvou darovacích smluv, neboť dle ustanovení § 20 odst. 1 písm. b) zákona č. 357/1992 Sb., o dani dědické, dani darovací a dani z převodu nemovitostí, v platném znění, je bezúplatné nabytí majetku územními samosprávnými celky osvobozeno od daně darovací.</w:t>
      </w:r>
    </w:p>
    <w:p w:rsidR="001513C2" w:rsidRDefault="001513C2" w:rsidP="001513C2">
      <w:pPr>
        <w:pStyle w:val="vlevo"/>
      </w:pPr>
      <w:r>
        <w:tab/>
        <w:t>Komise pro nakládání s majetkem RMP na svém zasedání dne 17. 1. 2013 doporučila Radě města Plzně souhlasit s navrženou majetkovou transakcí.</w:t>
      </w:r>
    </w:p>
    <w:p w:rsidR="001513C2" w:rsidRDefault="001513C2" w:rsidP="001513C2">
      <w:pPr>
        <w:pStyle w:val="vlevo"/>
        <w:rPr>
          <w:lang w:val="en-AU"/>
        </w:rPr>
      </w:pPr>
      <w:r>
        <w:rPr>
          <w:lang w:val="en-AU"/>
        </w:rPr>
        <w:tab/>
        <w:t xml:space="preserve">Usnesením Rady města Plzně č. 207 ze dne 28. 2. 2013 </w:t>
      </w:r>
      <w:r>
        <w:rPr>
          <w:lang w:val="en-AU"/>
        </w:rPr>
        <w:t>byl vysloven souhlas s </w:t>
      </w:r>
      <w:r>
        <w:rPr>
          <w:lang w:val="en-AU"/>
        </w:rPr>
        <w:t>navrženou majetkovou transakcí.</w:t>
      </w:r>
    </w:p>
    <w:p w:rsidR="001513C2" w:rsidRDefault="001513C2" w:rsidP="001513C2">
      <w:pPr>
        <w:pStyle w:val="vlevo"/>
        <w:rPr>
          <w:lang w:val="en-AU"/>
        </w:rPr>
      </w:pPr>
    </w:p>
    <w:p w:rsidR="001513C2" w:rsidRDefault="001513C2" w:rsidP="001513C2">
      <w:pPr>
        <w:pStyle w:val="ostzahl"/>
        <w:rPr>
          <w:lang w:val="en-AU"/>
        </w:rPr>
      </w:pPr>
      <w:r>
        <w:rPr>
          <w:lang w:val="en-AU"/>
        </w:rPr>
        <w:t>Předpokládaný cílový stav</w:t>
      </w:r>
    </w:p>
    <w:p w:rsidR="001513C2" w:rsidRDefault="001513C2" w:rsidP="001513C2">
      <w:pPr>
        <w:pStyle w:val="vlevo"/>
      </w:pPr>
      <w:r>
        <w:tab/>
        <w:t>Majetkoprávní vypořádání pozemků v k. ú. Plzeň 4 mezi městem Plzeň a Plzeňským krajem formou vzájemných darů.</w:t>
      </w:r>
    </w:p>
    <w:p w:rsidR="001513C2" w:rsidRDefault="001513C2" w:rsidP="001513C2">
      <w:pPr>
        <w:pStyle w:val="vlevo"/>
        <w:rPr>
          <w:lang w:val="en-AU"/>
        </w:rPr>
      </w:pPr>
    </w:p>
    <w:p w:rsidR="001513C2" w:rsidRDefault="001513C2" w:rsidP="001513C2">
      <w:pPr>
        <w:pStyle w:val="ostzahl"/>
        <w:rPr>
          <w:lang w:val="en-AU"/>
        </w:rPr>
      </w:pPr>
      <w:r>
        <w:rPr>
          <w:lang w:val="en-AU"/>
        </w:rPr>
        <w:t>Navrhované varianty řešení</w:t>
      </w:r>
    </w:p>
    <w:p w:rsidR="001513C2" w:rsidRDefault="001513C2" w:rsidP="001513C2">
      <w:pPr>
        <w:pStyle w:val="vlevo"/>
        <w:rPr>
          <w:lang w:val="en-AU"/>
        </w:rPr>
      </w:pPr>
      <w:r>
        <w:rPr>
          <w:lang w:val="en-AU"/>
        </w:rPr>
        <w:t>Viz návrh usnesení.</w:t>
      </w:r>
    </w:p>
    <w:p w:rsidR="001513C2" w:rsidRDefault="001513C2" w:rsidP="001513C2">
      <w:pPr>
        <w:pStyle w:val="vlevo"/>
        <w:rPr>
          <w:lang w:val="en-AU"/>
        </w:rPr>
      </w:pPr>
    </w:p>
    <w:p w:rsidR="001513C2" w:rsidRDefault="001513C2" w:rsidP="001513C2">
      <w:pPr>
        <w:pStyle w:val="ostzahl"/>
        <w:rPr>
          <w:lang w:val="en-AU"/>
        </w:rPr>
      </w:pPr>
      <w:r>
        <w:rPr>
          <w:lang w:val="en-AU"/>
        </w:rPr>
        <w:t>Doporučená varianta řešení</w:t>
      </w:r>
    </w:p>
    <w:p w:rsidR="001513C2" w:rsidRDefault="001513C2" w:rsidP="001513C2">
      <w:pPr>
        <w:pStyle w:val="vlevo"/>
        <w:rPr>
          <w:lang w:val="en-AU"/>
        </w:rPr>
      </w:pPr>
      <w:r>
        <w:rPr>
          <w:lang w:val="en-AU"/>
        </w:rPr>
        <w:t>Viz návrh usnesení.</w:t>
      </w:r>
    </w:p>
    <w:p w:rsidR="001513C2" w:rsidRDefault="001513C2" w:rsidP="001513C2">
      <w:pPr>
        <w:pStyle w:val="vlevo"/>
        <w:rPr>
          <w:lang w:val="en-AU"/>
        </w:rPr>
      </w:pPr>
    </w:p>
    <w:p w:rsidR="001513C2" w:rsidRDefault="001513C2" w:rsidP="001513C2">
      <w:pPr>
        <w:pStyle w:val="ostzahl"/>
        <w:rPr>
          <w:lang w:val="en-AU"/>
        </w:rPr>
      </w:pPr>
      <w:r>
        <w:rPr>
          <w:lang w:val="en-AU"/>
        </w:rPr>
        <w:t>Finanční nároky řešení a možnosti finančního krytí</w:t>
      </w:r>
    </w:p>
    <w:p w:rsidR="001513C2" w:rsidRDefault="001513C2" w:rsidP="001513C2">
      <w:pPr>
        <w:pStyle w:val="vlevo"/>
      </w:pPr>
      <w:r>
        <w:t>Náklady na vklad do katastru nemovitostí budou hrazeny z rozpočtu MAJ MMP.</w:t>
      </w:r>
    </w:p>
    <w:p w:rsidR="001513C2" w:rsidRDefault="001513C2" w:rsidP="001513C2">
      <w:pPr>
        <w:pStyle w:val="vlevo"/>
        <w:rPr>
          <w:lang w:val="en-AU"/>
        </w:rPr>
      </w:pPr>
    </w:p>
    <w:p w:rsidR="001513C2" w:rsidRDefault="001513C2" w:rsidP="001513C2">
      <w:pPr>
        <w:pStyle w:val="ostzahl"/>
        <w:rPr>
          <w:lang w:val="en-AU"/>
        </w:rPr>
      </w:pPr>
      <w:r>
        <w:rPr>
          <w:lang w:val="en-AU"/>
        </w:rPr>
        <w:t>Návrh termínů realizace a určení zodpovědných pracovníků</w:t>
      </w:r>
    </w:p>
    <w:p w:rsidR="001513C2" w:rsidRDefault="001513C2" w:rsidP="001513C2">
      <w:pPr>
        <w:pStyle w:val="vlevo"/>
        <w:rPr>
          <w:lang w:val="en-AU"/>
        </w:rPr>
      </w:pPr>
      <w:r>
        <w:rPr>
          <w:lang w:val="en-AU"/>
        </w:rPr>
        <w:t>Viz návrh usnesení.</w:t>
      </w:r>
    </w:p>
    <w:p w:rsidR="001513C2" w:rsidRDefault="001513C2" w:rsidP="001513C2">
      <w:pPr>
        <w:pStyle w:val="vlevo"/>
        <w:rPr>
          <w:lang w:val="en-AU"/>
        </w:rPr>
      </w:pPr>
    </w:p>
    <w:p w:rsidR="001513C2" w:rsidRDefault="001513C2" w:rsidP="001513C2">
      <w:pPr>
        <w:pStyle w:val="ostzahl"/>
        <w:rPr>
          <w:lang w:val="en-AU"/>
        </w:rPr>
      </w:pPr>
      <w:r>
        <w:rPr>
          <w:lang w:val="en-AU"/>
        </w:rPr>
        <w:t>Dříve přijatá usnesení orgánů města nebo městských obvodů, která s tímto návrhem souvisejí</w:t>
      </w:r>
    </w:p>
    <w:p w:rsidR="001513C2" w:rsidRDefault="001513C2" w:rsidP="001513C2">
      <w:pPr>
        <w:pStyle w:val="vlevo"/>
      </w:pPr>
      <w:r>
        <w:t>Stanovisko TÚ MMP</w:t>
      </w:r>
    </w:p>
    <w:p w:rsidR="001513C2" w:rsidRDefault="001513C2" w:rsidP="001513C2">
      <w:pPr>
        <w:pStyle w:val="vlevo"/>
      </w:pPr>
      <w:r>
        <w:t>Usnesení RMO Plzeň 4 č. 0237/2012</w:t>
      </w:r>
    </w:p>
    <w:p w:rsidR="001513C2" w:rsidRDefault="001513C2" w:rsidP="001513C2">
      <w:pPr>
        <w:pStyle w:val="vlevo"/>
      </w:pPr>
      <w:r>
        <w:t>Zápis z KNM RMP ze dne 17. 1. 2013</w:t>
      </w:r>
    </w:p>
    <w:p w:rsidR="001513C2" w:rsidRDefault="001513C2" w:rsidP="001513C2">
      <w:pPr>
        <w:pStyle w:val="vlevo"/>
      </w:pPr>
      <w:r>
        <w:t>Usnesení Rady města Plzně č. 207/2013.</w:t>
      </w:r>
    </w:p>
    <w:p w:rsidR="001513C2" w:rsidRDefault="001513C2" w:rsidP="001513C2">
      <w:pPr>
        <w:pStyle w:val="vlevo"/>
      </w:pPr>
    </w:p>
    <w:p w:rsidR="001513C2" w:rsidRDefault="001513C2" w:rsidP="001513C2">
      <w:pPr>
        <w:pStyle w:val="vlevo"/>
      </w:pPr>
    </w:p>
    <w:p w:rsidR="001513C2" w:rsidRDefault="001513C2" w:rsidP="001513C2">
      <w:pPr>
        <w:pStyle w:val="vlevo"/>
      </w:pPr>
    </w:p>
    <w:p w:rsidR="001513C2" w:rsidRDefault="001513C2" w:rsidP="001513C2">
      <w:pPr>
        <w:pStyle w:val="vlevo"/>
      </w:pPr>
    </w:p>
    <w:p w:rsidR="001513C2" w:rsidRDefault="001513C2" w:rsidP="001513C2">
      <w:pPr>
        <w:pStyle w:val="ostzahl"/>
        <w:jc w:val="left"/>
      </w:pPr>
      <w:r>
        <w:t>Závazky či pohledávky vůči městu Plzni</w:t>
      </w:r>
    </w:p>
    <w:p w:rsidR="001513C2" w:rsidRDefault="001513C2" w:rsidP="001513C2">
      <w:pPr>
        <w:pStyle w:val="vlevo"/>
      </w:pPr>
      <w:r>
        <w:t>Nešetří se.</w:t>
      </w:r>
    </w:p>
    <w:p w:rsidR="001513C2" w:rsidRDefault="001513C2" w:rsidP="001513C2">
      <w:pPr>
        <w:pStyle w:val="vlevo"/>
      </w:pPr>
    </w:p>
    <w:p w:rsidR="001513C2" w:rsidRDefault="001513C2" w:rsidP="001513C2">
      <w:pPr>
        <w:pStyle w:val="ostzahl"/>
        <w:tabs>
          <w:tab w:val="clear" w:pos="360"/>
          <w:tab w:val="num" w:pos="284"/>
          <w:tab w:val="left" w:pos="426"/>
        </w:tabs>
        <w:jc w:val="left"/>
      </w:pPr>
      <w:r>
        <w:t>Přílohy</w:t>
      </w:r>
    </w:p>
    <w:p w:rsidR="001513C2" w:rsidRDefault="001513C2" w:rsidP="001513C2">
      <w:pPr>
        <w:pStyle w:val="vlevo"/>
      </w:pPr>
      <w:r>
        <w:t>Příloha č. 1 – žádost SVSMP</w:t>
      </w:r>
    </w:p>
    <w:p w:rsidR="001513C2" w:rsidRDefault="001513C2" w:rsidP="001513C2">
      <w:pPr>
        <w:pStyle w:val="vlevo"/>
      </w:pPr>
      <w:r>
        <w:t>Příloha č. 2 – usnesení ZPK</w:t>
      </w:r>
    </w:p>
    <w:p w:rsidR="001513C2" w:rsidRDefault="001513C2" w:rsidP="001513C2">
      <w:pPr>
        <w:pStyle w:val="vlevo"/>
      </w:pPr>
      <w:r>
        <w:t>Příloha č. 3 – stanovisko TÚ MMP</w:t>
      </w:r>
    </w:p>
    <w:p w:rsidR="001513C2" w:rsidRDefault="001513C2" w:rsidP="001513C2">
      <w:pPr>
        <w:pStyle w:val="vlevo"/>
      </w:pPr>
      <w:r>
        <w:t>Příloha č. 4 – usnesení RMO Plzeň 4</w:t>
      </w:r>
    </w:p>
    <w:p w:rsidR="001513C2" w:rsidRDefault="001513C2" w:rsidP="001513C2">
      <w:pPr>
        <w:pStyle w:val="vlevo"/>
      </w:pPr>
      <w:r>
        <w:t>Příloha č. 5 – zápis z KNM RMP</w:t>
      </w:r>
    </w:p>
    <w:p w:rsidR="001513C2" w:rsidRDefault="001513C2" w:rsidP="001513C2">
      <w:pPr>
        <w:pStyle w:val="vlevo"/>
      </w:pPr>
      <w:r>
        <w:t xml:space="preserve">Příloha č. 6 – </w:t>
      </w:r>
      <w:r>
        <w:t>katastrální mapy -</w:t>
      </w:r>
      <w:r>
        <w:t>modrá mapa</w:t>
      </w:r>
      <w:r>
        <w:t xml:space="preserve">, </w:t>
      </w:r>
      <w:r>
        <w:t xml:space="preserve">územní plán, letecký snímek, orientační </w:t>
      </w:r>
      <w:r>
        <w:tab/>
      </w:r>
      <w:r>
        <w:tab/>
      </w:r>
      <w:r>
        <w:tab/>
      </w:r>
      <w:r>
        <w:t>turistická</w:t>
      </w:r>
      <w:r>
        <w:t xml:space="preserve"> mapa.</w:t>
      </w:r>
      <w:r>
        <w:t xml:space="preserve"> </w:t>
      </w:r>
    </w:p>
    <w:p w:rsidR="001513C2" w:rsidRDefault="001513C2" w:rsidP="001513C2">
      <w:pPr>
        <w:pStyle w:val="vlevo"/>
      </w:pPr>
      <w:r>
        <w:t xml:space="preserve">Příloha č. </w:t>
      </w:r>
      <w:r>
        <w:t>7</w:t>
      </w:r>
      <w:bookmarkStart w:id="0" w:name="_GoBack"/>
      <w:bookmarkEnd w:id="0"/>
      <w:r>
        <w:t xml:space="preserve"> – usnesení RMP č. 207/2013.</w:t>
      </w:r>
    </w:p>
    <w:p w:rsidR="001513C2" w:rsidRDefault="001513C2" w:rsidP="001513C2">
      <w:pPr>
        <w:pStyle w:val="vlevo"/>
      </w:pPr>
    </w:p>
    <w:p w:rsidR="001513C2" w:rsidRPr="00C17D1E" w:rsidRDefault="001513C2" w:rsidP="001513C2">
      <w:pPr>
        <w:pStyle w:val="vlevo"/>
        <w:rPr>
          <w:lang w:val="en-AU"/>
        </w:rPr>
      </w:pPr>
      <w:r>
        <w:t>Zpracovala: Jitka Kašparová, MAJ MMP</w:t>
      </w:r>
    </w:p>
    <w:p w:rsidR="001513C2" w:rsidRDefault="001513C2" w:rsidP="001513C2"/>
    <w:p w:rsidR="00763863" w:rsidRDefault="001513C2"/>
    <w:sectPr w:rsidR="00763863">
      <w:footerReference w:type="default" r:id="rId6"/>
      <w:pgSz w:w="11906" w:h="16838"/>
      <w:pgMar w:top="1440" w:right="1797" w:bottom="1440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3F" w:rsidRDefault="001513C2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BDE"/>
    <w:multiLevelType w:val="hybridMultilevel"/>
    <w:tmpl w:val="B2DACB8A"/>
    <w:lvl w:ilvl="0" w:tplc="A1E8E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2"/>
    <w:rsid w:val="001513C2"/>
    <w:rsid w:val="004901A9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151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1513C2"/>
    <w:pPr>
      <w:tabs>
        <w:tab w:val="left" w:pos="0"/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1513C2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1513C2"/>
    <w:pPr>
      <w:numPr>
        <w:numId w:val="1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rsid w:val="001513C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513C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513C2"/>
  </w:style>
  <w:style w:type="character" w:customStyle="1" w:styleId="vlevoChar">
    <w:name w:val="vlevo Char"/>
    <w:link w:val="vlevo"/>
    <w:rsid w:val="001513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1513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151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1513C2"/>
    <w:pPr>
      <w:tabs>
        <w:tab w:val="left" w:pos="0"/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1513C2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1513C2"/>
    <w:pPr>
      <w:numPr>
        <w:numId w:val="1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rsid w:val="001513C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513C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513C2"/>
  </w:style>
  <w:style w:type="character" w:customStyle="1" w:styleId="vlevoChar">
    <w:name w:val="vlevo Char"/>
    <w:link w:val="vlevo"/>
    <w:rsid w:val="001513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1513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</cp:revision>
  <dcterms:created xsi:type="dcterms:W3CDTF">2013-03-06T09:13:00Z</dcterms:created>
  <dcterms:modified xsi:type="dcterms:W3CDTF">2013-03-06T09:21:00Z</dcterms:modified>
</cp:coreProperties>
</file>