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A66D5E" w:rsidP="00F62653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F62653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 xml:space="preserve">. </w:t>
            </w:r>
            <w:r w:rsidR="00F62653">
              <w:rPr>
                <w:bCs/>
                <w:sz w:val="24"/>
              </w:rPr>
              <w:t>června</w:t>
            </w:r>
            <w:r>
              <w:rPr>
                <w:bCs/>
                <w:sz w:val="24"/>
              </w:rPr>
              <w:t xml:space="preserve"> 2013</w:t>
            </w:r>
          </w:p>
        </w:tc>
        <w:tc>
          <w:tcPr>
            <w:tcW w:w="2126" w:type="dxa"/>
            <w:hideMark/>
          </w:tcPr>
          <w:p w:rsidR="00A66D5E" w:rsidRDefault="00A66D5E" w:rsidP="00A02D86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FO/</w:t>
            </w:r>
            <w:r w:rsidR="00A02D86">
              <w:rPr>
                <w:b/>
                <w:sz w:val="32"/>
                <w:szCs w:val="32"/>
              </w:rPr>
              <w:t>2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A66D5E" w:rsidP="00F62653">
            <w:pPr>
              <w:pStyle w:val="vlevo"/>
            </w:pPr>
            <w:r>
              <w:t>2</w:t>
            </w:r>
            <w:r w:rsidR="00F62653">
              <w:t>5</w:t>
            </w:r>
            <w:r>
              <w:t xml:space="preserve">. </w:t>
            </w:r>
            <w:r w:rsidR="00F62653">
              <w:t>6</w:t>
            </w:r>
            <w:r>
              <w:t>. 2013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A02D86" w:rsidP="00823DF2">
            <w:pPr>
              <w:jc w:val="both"/>
            </w:pPr>
            <w:r>
              <w:t>7</w:t>
            </w:r>
            <w:r w:rsidR="00F62653">
              <w:t>.</w:t>
            </w:r>
            <w:r w:rsidR="00A66D5E">
              <w:t xml:space="preserve"> rozpočtové opatření rozpočtu roku 2013 – př</w:t>
            </w:r>
            <w:r>
              <w:t>evod finančních prostředků z MMP na základě vyúčtování příjmů města z odvodů z loterií a jiných podobných her za období 01-11/2012 do rozpočtu MO Plzeň 3</w:t>
            </w:r>
            <w:r w:rsidR="00823DF2">
              <w:t xml:space="preserve"> a zapojení prostředků Fondu rezerv a rozvoje do rozpočtu MO Plzeň 3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A66D5E" w:rsidRDefault="00A66D5E" w:rsidP="00A66D5E"/>
    <w:p w:rsidR="00A66D5E" w:rsidRDefault="00A66D5E" w:rsidP="00A66D5E"/>
    <w:p w:rsidR="00A66D5E" w:rsidRDefault="00A66D5E" w:rsidP="00471FD9">
      <w:pPr>
        <w:pStyle w:val="Nadpis2"/>
        <w:tabs>
          <w:tab w:val="left" w:pos="6804"/>
        </w:tabs>
        <w:jc w:val="both"/>
      </w:pPr>
      <w:proofErr w:type="gramStart"/>
      <w:r>
        <w:t xml:space="preserve">I.     </w:t>
      </w:r>
      <w:r w:rsidR="00A02D86">
        <w:t>b e r e   n a   v ě d o m í</w:t>
      </w:r>
      <w:proofErr w:type="gramEnd"/>
    </w:p>
    <w:p w:rsidR="00A02D86" w:rsidRPr="00A02D86" w:rsidRDefault="00A02D86" w:rsidP="00471FD9">
      <w:pPr>
        <w:tabs>
          <w:tab w:val="left" w:pos="6804"/>
        </w:tabs>
        <w:jc w:val="both"/>
      </w:pPr>
    </w:p>
    <w:p w:rsidR="00471FD9" w:rsidRDefault="00471FD9" w:rsidP="00471FD9">
      <w:pPr>
        <w:pStyle w:val="Odstavecseseznamem"/>
        <w:numPr>
          <w:ilvl w:val="0"/>
          <w:numId w:val="1"/>
        </w:numPr>
        <w:tabs>
          <w:tab w:val="left" w:pos="6804"/>
        </w:tabs>
        <w:jc w:val="both"/>
      </w:pPr>
      <w:r>
        <w:t>U</w:t>
      </w:r>
      <w:r w:rsidR="00A02D86">
        <w:t>snesení ZMP č. 164 ze dne 25. 4. 2013 ve věci souhrnného rozpočtového opatření, kterým byl mj. schválen převod finančních prostředků do rozpočtu MO Plzeň 3</w:t>
      </w:r>
    </w:p>
    <w:p w:rsidR="00471FD9" w:rsidRDefault="00471FD9" w:rsidP="00471FD9">
      <w:pPr>
        <w:pStyle w:val="Odstavecseseznamem"/>
        <w:numPr>
          <w:ilvl w:val="0"/>
          <w:numId w:val="1"/>
        </w:numPr>
        <w:tabs>
          <w:tab w:val="left" w:pos="6804"/>
        </w:tabs>
        <w:jc w:val="both"/>
      </w:pPr>
      <w:r>
        <w:t>Usnesení ZMO Plzeň 3 č. 16 ze dne 23. 4. 2013, kterým byl schválen přebytek hospodaření rozpočtu MO Plzeň 3 za rok 2012 ve výši 2 483 581,30 Kč</w:t>
      </w:r>
    </w:p>
    <w:p w:rsidR="00471FD9" w:rsidRDefault="00471FD9" w:rsidP="00471FD9">
      <w:pPr>
        <w:pStyle w:val="Odstavecseseznamem"/>
        <w:numPr>
          <w:ilvl w:val="0"/>
          <w:numId w:val="1"/>
        </w:numPr>
        <w:tabs>
          <w:tab w:val="left" w:pos="6804"/>
        </w:tabs>
        <w:jc w:val="both"/>
      </w:pPr>
      <w:r>
        <w:t>Usnesení ZMP č. 232 ze dne 23. 5. 2013, kterým byl schválen převod tohoto přebytku do Fondu rezerv a rozvoje MO Plzeň 3</w:t>
      </w:r>
    </w:p>
    <w:p w:rsidR="00471FD9" w:rsidRDefault="00471FD9" w:rsidP="00471FD9">
      <w:pPr>
        <w:pStyle w:val="Odstavecseseznamem"/>
        <w:numPr>
          <w:ilvl w:val="0"/>
          <w:numId w:val="1"/>
        </w:numPr>
        <w:tabs>
          <w:tab w:val="left" w:pos="6804"/>
        </w:tabs>
        <w:jc w:val="both"/>
      </w:pPr>
      <w:r>
        <w:t>Stav FRR MO Plzeň 3 ke dni 31. 5. 2013 ve výši 5 218 101,49 Kč</w:t>
      </w:r>
    </w:p>
    <w:p w:rsidR="00A02D86" w:rsidRDefault="00A02D86" w:rsidP="00471FD9">
      <w:pPr>
        <w:tabs>
          <w:tab w:val="left" w:pos="6804"/>
        </w:tabs>
        <w:jc w:val="both"/>
      </w:pPr>
    </w:p>
    <w:p w:rsidR="00EC10D7" w:rsidRDefault="00EC10D7" w:rsidP="00471FD9">
      <w:pPr>
        <w:tabs>
          <w:tab w:val="left" w:pos="6804"/>
        </w:tabs>
        <w:jc w:val="both"/>
      </w:pPr>
    </w:p>
    <w:p w:rsidR="00A02D86" w:rsidRPr="00A02D86" w:rsidRDefault="00A02D86" w:rsidP="00471FD9">
      <w:pPr>
        <w:tabs>
          <w:tab w:val="left" w:pos="6804"/>
        </w:tabs>
        <w:jc w:val="both"/>
        <w:rPr>
          <w:b/>
        </w:rPr>
      </w:pPr>
      <w:proofErr w:type="gramStart"/>
      <w:r w:rsidRPr="00A02D86">
        <w:rPr>
          <w:b/>
        </w:rPr>
        <w:t>II.   s c h v a l u j e</w:t>
      </w:r>
      <w:proofErr w:type="gramEnd"/>
    </w:p>
    <w:p w:rsidR="00EC10D7" w:rsidRDefault="00EC10D7" w:rsidP="00471FD9">
      <w:pPr>
        <w:tabs>
          <w:tab w:val="left" w:pos="6804"/>
        </w:tabs>
        <w:jc w:val="both"/>
      </w:pPr>
    </w:p>
    <w:p w:rsidR="00471FD9" w:rsidRDefault="00A02D86" w:rsidP="00471FD9">
      <w:pPr>
        <w:tabs>
          <w:tab w:val="left" w:pos="6804"/>
        </w:tabs>
        <w:jc w:val="both"/>
      </w:pPr>
      <w:r>
        <w:t>7</w:t>
      </w:r>
      <w:r w:rsidR="00B8489D">
        <w:t xml:space="preserve">. </w:t>
      </w:r>
      <w:r w:rsidR="00A66D5E">
        <w:t xml:space="preserve">rozpočtové opatření rozpočtu roku 2013 na částku </w:t>
      </w:r>
      <w:r>
        <w:t>1</w:t>
      </w:r>
      <w:r w:rsidR="00471FD9">
        <w:t>7</w:t>
      </w:r>
      <w:r>
        <w:t xml:space="preserve"> 959 tis. Kč, </w:t>
      </w:r>
      <w:r w:rsidR="00A66D5E">
        <w:t>spočívající</w:t>
      </w:r>
      <w:r w:rsidR="00471FD9">
        <w:t>:</w:t>
      </w:r>
    </w:p>
    <w:p w:rsidR="00471FD9" w:rsidRDefault="00324E6D" w:rsidP="00471FD9">
      <w:pPr>
        <w:tabs>
          <w:tab w:val="left" w:pos="6804"/>
        </w:tabs>
        <w:jc w:val="both"/>
      </w:pPr>
      <w:r>
        <w:t xml:space="preserve">       </w:t>
      </w:r>
      <w:proofErr w:type="gramStart"/>
      <w:r w:rsidR="00471FD9">
        <w:t>a)   v převodu</w:t>
      </w:r>
      <w:proofErr w:type="gramEnd"/>
      <w:r w:rsidR="00471FD9">
        <w:t xml:space="preserve"> finančních prostředků z rozpočtu Magistrátu města Plzně do rozpočtu MO       </w:t>
      </w:r>
    </w:p>
    <w:p w:rsidR="00471FD9" w:rsidRDefault="00471FD9" w:rsidP="00471FD9">
      <w:pPr>
        <w:tabs>
          <w:tab w:val="left" w:pos="6804"/>
        </w:tabs>
        <w:jc w:val="both"/>
      </w:pPr>
      <w:r>
        <w:t xml:space="preserve">     </w:t>
      </w:r>
      <w:r w:rsidR="00324E6D">
        <w:t xml:space="preserve">       </w:t>
      </w:r>
      <w:r>
        <w:t xml:space="preserve"> </w:t>
      </w:r>
      <w:proofErr w:type="gramStart"/>
      <w:r>
        <w:t>Plzeň  3 ve</w:t>
      </w:r>
      <w:proofErr w:type="gramEnd"/>
      <w:r>
        <w:t xml:space="preserve"> výši 14 959 tis. Kč</w:t>
      </w:r>
    </w:p>
    <w:p w:rsidR="00324E6D" w:rsidRDefault="00324E6D" w:rsidP="00471FD9">
      <w:pPr>
        <w:tabs>
          <w:tab w:val="left" w:pos="6804"/>
        </w:tabs>
        <w:jc w:val="both"/>
      </w:pPr>
      <w:r>
        <w:t xml:space="preserve">       </w:t>
      </w:r>
      <w:proofErr w:type="gramStart"/>
      <w:r w:rsidR="00471FD9">
        <w:t xml:space="preserve">b) </w:t>
      </w:r>
      <w:r>
        <w:t xml:space="preserve">  </w:t>
      </w:r>
      <w:r w:rsidR="00471FD9">
        <w:t>v zapojení</w:t>
      </w:r>
      <w:proofErr w:type="gramEnd"/>
      <w:r w:rsidR="00471FD9">
        <w:t xml:space="preserve"> částky ve výši 3 000 tis. Kč z Fondu rezerv a rozvoje za současného </w:t>
      </w:r>
    </w:p>
    <w:p w:rsidR="00324E6D" w:rsidRDefault="00324E6D" w:rsidP="00471FD9">
      <w:pPr>
        <w:tabs>
          <w:tab w:val="left" w:pos="6804"/>
        </w:tabs>
        <w:jc w:val="both"/>
      </w:pPr>
      <w:r>
        <w:t xml:space="preserve">            </w:t>
      </w:r>
      <w:r w:rsidR="00EC10D7">
        <w:t xml:space="preserve"> </w:t>
      </w:r>
      <w:r>
        <w:t xml:space="preserve"> navýšení</w:t>
      </w:r>
      <w:r w:rsidR="00471FD9">
        <w:t xml:space="preserve"> rozpočtu Odboru majetkového ÚMO Plzeň 3 o částku 3 000 tis. Kč </w:t>
      </w:r>
      <w:r>
        <w:t>tak, jak</w:t>
      </w:r>
      <w:r w:rsidR="00B8489D">
        <w:t xml:space="preserve"> </w:t>
      </w:r>
    </w:p>
    <w:p w:rsidR="00A66D5E" w:rsidRDefault="00324E6D" w:rsidP="00471FD9">
      <w:pPr>
        <w:tabs>
          <w:tab w:val="left" w:pos="6804"/>
        </w:tabs>
        <w:jc w:val="both"/>
      </w:pPr>
      <w:r>
        <w:t xml:space="preserve">              </w:t>
      </w:r>
      <w:r w:rsidR="00B8489D">
        <w:t xml:space="preserve">uvedeno v příloze tohoto usnesení a tvoří jeho nedílnou </w:t>
      </w:r>
      <w:r w:rsidR="00AC2CA7">
        <w:t>součást</w:t>
      </w:r>
    </w:p>
    <w:p w:rsidR="00A66D5E" w:rsidRDefault="00A66D5E" w:rsidP="00A66D5E"/>
    <w:p w:rsidR="00EC10D7" w:rsidRDefault="00EC10D7" w:rsidP="00A66D5E"/>
    <w:p w:rsidR="00A66D5E" w:rsidRDefault="00A66D5E" w:rsidP="00A66D5E">
      <w:pPr>
        <w:pStyle w:val="Nadpis2"/>
        <w:rPr>
          <w:b w:val="0"/>
          <w:i/>
        </w:rPr>
      </w:pPr>
      <w:proofErr w:type="gramStart"/>
      <w:r>
        <w:t>II.    u k l á d á</w:t>
      </w:r>
      <w:proofErr w:type="gramEnd"/>
    </w:p>
    <w:p w:rsidR="00A66D5E" w:rsidRDefault="00A66D5E" w:rsidP="00A66D5E"/>
    <w:p w:rsidR="009D0D4B" w:rsidRDefault="009D0D4B" w:rsidP="009D0D4B">
      <w:r>
        <w:t xml:space="preserve">provést rozpočtové opatření v souladu s bodem </w:t>
      </w:r>
      <w:r w:rsidR="002A0B50">
        <w:t>I</w:t>
      </w:r>
      <w:r>
        <w:t>I</w:t>
      </w:r>
      <w:r w:rsidR="00DE4ADD">
        <w:t xml:space="preserve">. </w:t>
      </w:r>
      <w:r>
        <w:t xml:space="preserve"> usnesení</w:t>
      </w:r>
    </w:p>
    <w:p w:rsidR="00A66D5E" w:rsidRDefault="00A66D5E" w:rsidP="00A66D5E"/>
    <w:p w:rsidR="00A66D5E" w:rsidRDefault="00A66D5E" w:rsidP="00A66D5E">
      <w:r>
        <w:t>Termín: 3</w:t>
      </w:r>
      <w:r w:rsidR="00824119">
        <w:t>1</w:t>
      </w:r>
      <w:r>
        <w:t xml:space="preserve">. </w:t>
      </w:r>
      <w:r w:rsidR="00824119">
        <w:t>8</w:t>
      </w:r>
      <w:r>
        <w:t>. 2013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Lenka Sýkorová</w:t>
      </w: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starosta MO Plzeň 3 p. Jiří Strobach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444893" w:rsidP="00444893">
            <w:r>
              <w:t>12</w:t>
            </w:r>
            <w:r w:rsidR="00A66D5E">
              <w:t xml:space="preserve">. </w:t>
            </w:r>
            <w:r>
              <w:t>6</w:t>
            </w:r>
            <w:r w:rsidR="00A66D5E">
              <w:t>. 2013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Ing. Lenka Sýkorová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Obsah zprávy projednán s</w:t>
            </w:r>
            <w:r w:rsidR="00681E1A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81E1A" w:rsidP="00681E1A">
            <w:r>
              <w:t xml:space="preserve">starostou MO 3 J. </w:t>
            </w:r>
            <w:proofErr w:type="spellStart"/>
            <w:r>
              <w:t>Strobachem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v RMO 3 dne </w:t>
            </w:r>
            <w:r w:rsidR="00681E1A">
              <w:t>11</w:t>
            </w:r>
            <w:r>
              <w:t xml:space="preserve">. </w:t>
            </w:r>
            <w:r w:rsidR="00681E1A">
              <w:t>6</w:t>
            </w:r>
            <w:r>
              <w:t>. 2013</w:t>
            </w:r>
          </w:p>
          <w:p w:rsidR="00A66D5E" w:rsidRDefault="00A66D5E" w:rsidP="00681E1A">
            <w:r>
              <w:t>ve FV ZMO 3 dne 1</w:t>
            </w:r>
            <w:r w:rsidR="00681E1A">
              <w:t>8</w:t>
            </w:r>
            <w:r>
              <w:t xml:space="preserve">. </w:t>
            </w:r>
            <w:r w:rsidR="00681E1A">
              <w:t>6</w:t>
            </w:r>
            <w:r>
              <w:t>. 2013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0E6D7A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0E6D7A">
              <w:t>179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46E6"/>
    <w:multiLevelType w:val="hybridMultilevel"/>
    <w:tmpl w:val="658AF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2146A"/>
    <w:rsid w:val="00095A8E"/>
    <w:rsid w:val="000E6D7A"/>
    <w:rsid w:val="000F5A77"/>
    <w:rsid w:val="001050EA"/>
    <w:rsid w:val="00197FDF"/>
    <w:rsid w:val="001B604D"/>
    <w:rsid w:val="002A0B50"/>
    <w:rsid w:val="00324E6D"/>
    <w:rsid w:val="00336418"/>
    <w:rsid w:val="00444893"/>
    <w:rsid w:val="00471FD9"/>
    <w:rsid w:val="00681E1A"/>
    <w:rsid w:val="00823DF2"/>
    <w:rsid w:val="00824119"/>
    <w:rsid w:val="00927C01"/>
    <w:rsid w:val="009D0D4B"/>
    <w:rsid w:val="00A02D86"/>
    <w:rsid w:val="00A243CB"/>
    <w:rsid w:val="00A66D5E"/>
    <w:rsid w:val="00AC2CA7"/>
    <w:rsid w:val="00B8489D"/>
    <w:rsid w:val="00DE4ADD"/>
    <w:rsid w:val="00E55B22"/>
    <w:rsid w:val="00EC10D7"/>
    <w:rsid w:val="00F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7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7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C712-162E-46E1-ADC6-B82B7348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17</cp:revision>
  <cp:lastPrinted>2013-06-06T12:28:00Z</cp:lastPrinted>
  <dcterms:created xsi:type="dcterms:W3CDTF">2013-05-27T08:01:00Z</dcterms:created>
  <dcterms:modified xsi:type="dcterms:W3CDTF">2013-06-12T08:23:00Z</dcterms:modified>
</cp:coreProperties>
</file>