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97" w:rsidRDefault="007A4897" w:rsidP="007A4897">
      <w:pPr>
        <w:pStyle w:val="nadpcent"/>
      </w:pPr>
      <w:r>
        <w:t>Důvodová zpráva</w:t>
      </w:r>
    </w:p>
    <w:p w:rsidR="007A4897" w:rsidRDefault="007A4897" w:rsidP="007A4897">
      <w:pPr>
        <w:pStyle w:val="ostzahl"/>
      </w:pPr>
      <w:r>
        <w:t>Název problému a jeho charakteristika</w:t>
      </w:r>
    </w:p>
    <w:p w:rsidR="007A4897" w:rsidRDefault="007A4897" w:rsidP="007A4897">
      <w:pPr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Uzavření konečné kupní smlouvy na pozemky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a konečné darovací smlouvy na darování TDI v rámci stavby „RD v Plzni – Újezdě“.</w:t>
      </w:r>
    </w:p>
    <w:p w:rsidR="007A4897" w:rsidRDefault="007A4897" w:rsidP="007A4897">
      <w:pPr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Konstatování současného stavu a jeho analýza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Plzeň dne 5. 9. 2008 uzavřelo s vlastníky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 546/12,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 546/13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539/5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budoucí smlouvu kupní č. smlouvy 2008/003344, neboť na částech těchto pozemků bude vybudována TDI, která bude předána do vlastnictví města Plzně. Tyto pozemky jsou zasaženy stavbou TDI, kterou měla vybudovat společnost ALCON REAL – ESTATE PROJEKTMANAGEMENT s.r.o. (stavební povolení bylo vydáno pro tuto společnost). Město má z tohoto důvodu s předmětnou společností uzavřenou i smlouvu o smlouvě budoucí darovací č. smlouvy 2008/003348 na budoucí darování TDI. Předmětem této smlouvy je darování stavby komunikace včetně odvodnění, sadové úpravy a veřejného osvětlení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539/5,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546/12,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 546/13,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1185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1187/1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Jednotlivé smluvní vztahy byly uzavřeny na základě usnesení Zastupitelstva města Plzně č. 160 ze dne 10. 4. 2008.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Tato společnost stavbu nedokončila. Kolaudaci stavby zajišťoval již stavebník pan Ing. Milan </w:t>
      </w:r>
      <w:proofErr w:type="spellStart"/>
      <w:r>
        <w:rPr>
          <w:sz w:val="24"/>
          <w:szCs w:val="24"/>
        </w:rPr>
        <w:t>Lindner</w:t>
      </w:r>
      <w:proofErr w:type="spellEnd"/>
      <w:r>
        <w:rPr>
          <w:sz w:val="24"/>
          <w:szCs w:val="24"/>
        </w:rPr>
        <w:t xml:space="preserve"> a paní Lucie </w:t>
      </w:r>
      <w:proofErr w:type="spellStart"/>
      <w:r>
        <w:rPr>
          <w:sz w:val="24"/>
          <w:szCs w:val="24"/>
        </w:rPr>
        <w:t>Kaasová</w:t>
      </w:r>
      <w:proofErr w:type="spellEnd"/>
      <w:r>
        <w:rPr>
          <w:sz w:val="24"/>
          <w:szCs w:val="24"/>
        </w:rPr>
        <w:t>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Úřad městského obvodu Plzeň 4 dne 13. 7. 2011 vydal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UMO4/15812/11 Kolaudační souhlas s užíváním stavby „Technická infrastruktura pro výstavbu RD v Plzni – Újezdě. Kolaudační souhlas byl již vydán na stavebníka Lucii </w:t>
      </w:r>
      <w:proofErr w:type="spellStart"/>
      <w:r>
        <w:rPr>
          <w:sz w:val="24"/>
          <w:szCs w:val="24"/>
        </w:rPr>
        <w:t>Kaasovou</w:t>
      </w:r>
      <w:proofErr w:type="spellEnd"/>
      <w:r>
        <w:rPr>
          <w:sz w:val="24"/>
          <w:szCs w:val="24"/>
        </w:rPr>
        <w:t xml:space="preserve"> a Ing. Milana </w:t>
      </w:r>
      <w:proofErr w:type="spellStart"/>
      <w:r>
        <w:rPr>
          <w:sz w:val="24"/>
          <w:szCs w:val="24"/>
        </w:rPr>
        <w:t>Lindnera</w:t>
      </w:r>
      <w:proofErr w:type="spellEnd"/>
      <w:r>
        <w:rPr>
          <w:sz w:val="24"/>
          <w:szCs w:val="24"/>
        </w:rPr>
        <w:t>. Dne 20. 6. 2012 vydal Úřad městského obvodu Plzeň Usnesení – Oprava zřejmých nesprávností.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Kolaudační souhlas a geometrický plán je již zanesen v katastru nemovitostí. Správa veřejného statku města Plzně dne 5. 4. 2013 vykonala technickou prohlídku. Předmětem prohlídky byla komunikace bez odvodnění, sadové úpravy a veřejné osvětlení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539/6,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1185,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546/20,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546/21,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546/22 a 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2645/2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Doubravka. 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Pozemky dotčené stavbou TDI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Újezd: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539/6</w:t>
      </w:r>
      <w:r>
        <w:rPr>
          <w:sz w:val="24"/>
          <w:szCs w:val="24"/>
        </w:rPr>
        <w:tab/>
        <w:t>komunikace, sad, odvodnění komunikace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komunikace, sad, odvodnění komunikace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6/22</w:t>
      </w:r>
      <w:r>
        <w:rPr>
          <w:sz w:val="24"/>
          <w:szCs w:val="24"/>
        </w:rPr>
        <w:tab/>
        <w:t>komunikace, sad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1185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komunikace, sad, VO, odvodnění komunikace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549/20</w:t>
      </w:r>
      <w:r>
        <w:rPr>
          <w:sz w:val="24"/>
          <w:szCs w:val="24"/>
        </w:rPr>
        <w:tab/>
        <w:t>komunikace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546/21</w:t>
      </w:r>
      <w:r>
        <w:rPr>
          <w:sz w:val="24"/>
          <w:szCs w:val="24"/>
        </w:rPr>
        <w:tab/>
        <w:t>komunikace, VO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546/22</w:t>
      </w:r>
      <w:r>
        <w:rPr>
          <w:sz w:val="24"/>
          <w:szCs w:val="24"/>
        </w:rPr>
        <w:tab/>
        <w:t>komunikace, odvodnění komunikace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Doubravka: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2645/2</w:t>
      </w:r>
      <w:r>
        <w:rPr>
          <w:sz w:val="24"/>
          <w:szCs w:val="24"/>
        </w:rPr>
        <w:tab/>
        <w:t>komunikace.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Pozemky, které jsou předmětem výkupu od fyzických osob: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539/6 o celkové výměře 94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ostatní komunikace,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559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ve spoluvlastnictví pana </w:t>
      </w:r>
      <w:proofErr w:type="spellStart"/>
      <w:r>
        <w:rPr>
          <w:sz w:val="24"/>
          <w:szCs w:val="24"/>
        </w:rPr>
        <w:t>Brilla</w:t>
      </w:r>
      <w:proofErr w:type="spellEnd"/>
      <w:r>
        <w:rPr>
          <w:sz w:val="24"/>
          <w:szCs w:val="24"/>
        </w:rPr>
        <w:t xml:space="preserve"> Josefa podílem 1/3 k celku, </w:t>
      </w:r>
      <w:r>
        <w:rPr>
          <w:sz w:val="24"/>
          <w:szCs w:val="24"/>
        </w:rPr>
        <w:lastRenderedPageBreak/>
        <w:t>paní Hájkové Jaroslavy podílem 1/3 k celku a paní Hůrkové Marie podílem 1/3 k celku,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 o celkové výměře 198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ostatní komunikace,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337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ve vlastnictví pana Ulče Václava, 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546/20 o celkové výměře 41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ostatní komunikace,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337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ve vlastnictví pana Ulče Václava,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546/22 o celkové výměře 77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ostatní komunikace,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337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ve vlastnictví pana Ulče Václava,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546/21 o celkové výměře 41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ostatní komunikace,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1376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Újezd, v SJM Ing. Karla Majera a Ing. Štěpánky Majerové.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Pozemky jsou zasaženy stavbou TDI, která bude předána do majetku města Plzně.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Pozemky budou vykoupeny v souladu s uzavřenou budoucí kupní smlouvou, a to za 40,-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Vzhledem k faktu, že v současné době se ceny pozemků pod komunikacemi pohybují cca 800,- Kč až 1 200,- Kč, není v daném případě zpracován znalecký posudek na cenu pozemků, které jsou předmětem tohoto výkupu. 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Celková výměra pozemků určených k výkupu je 451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celková kupní cena činí 18 040,- Kč.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546/20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je zřízeno věcné břemeno – zřízení a provozování kanalizační přípojky. Smlouva o zřízení věcného břemene – bezúplatná ze dne 17. 12. 2008.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pozemkům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546/20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546/22 je zřízeno věcné břemeno zřizování a provozování vedení zařízení distribuční soustavy v rozsahu dle geometrického plánu č. 1135-732/2009 pro ČEZ Distribuce, a.s., Teplická. Smlouva o zřízení věcného břemene – úplatná ze dne 14. 11. 2011.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je zřízeno věcné břemeno (podle listiny) – zřídit a provozovat plynárenské zařízení a v této souvislosti vstupovat a vjíždět dle geometrického plánu č. 1126-41/2011 pro RWE </w:t>
      </w:r>
      <w:proofErr w:type="spellStart"/>
      <w:r>
        <w:rPr>
          <w:sz w:val="24"/>
          <w:szCs w:val="24"/>
        </w:rPr>
        <w:t>GasNet</w:t>
      </w:r>
      <w:proofErr w:type="spellEnd"/>
      <w:r>
        <w:rPr>
          <w:sz w:val="24"/>
          <w:szCs w:val="24"/>
        </w:rPr>
        <w:t>, s.r.o., Ústí nad Labem. Smlouva o zřízení věcného břemene – úplatná ze dne 28. 11. 2011.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546/21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je zřízeno věcné břemeno zřizování a provozování vedení – zařízení distribuční soustavy v rozsahu dle geometrického plánu č. 1087-732/2009 pro ČEZ Distribuce, a.s., Děčín. Smlouva o zřízení věcného břemene – úplatná ze dne 21. 6. 2010. 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 případě realizace výkupu předmětných pozemků, přejdou výše uvedená věcná břemena na město Plzeň.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Dále v části B1 Jiná práva na LV 337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Újezd je zapsáno věcné břemeno chůze a průchodu v rozsahu dle geometrického plánu č. 1120-8/2011, oprávnění pro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546/22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546/21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je zatížen zástavním právem smluvním – pohledávka ve výši 2 000 000,- Kč s příslušenstvím pro Českou spořitelnu, a.s. Dle vyjádření vlastníků předmětného pozemku již v současné době byly provedeny veškeré úkony k výmazu tohoto zástavního práva. Kupní smlouva na odkoupení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546/21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bude uzavřena po doložení výpis z katastru nemovitostí, kde již zástavní právo nebude. 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Technický úřad MMP souhrnným stanoviskem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MMP/81202/13 souhlasí: 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uzavřením konečných smluv kupních na převod TDI (komunikace, sad. </w:t>
      </w:r>
      <w:proofErr w:type="gramStart"/>
      <w:r>
        <w:rPr>
          <w:sz w:val="24"/>
          <w:szCs w:val="24"/>
        </w:rPr>
        <w:t>úprav</w:t>
      </w:r>
      <w:proofErr w:type="gramEnd"/>
      <w:r>
        <w:rPr>
          <w:sz w:val="24"/>
          <w:szCs w:val="24"/>
        </w:rPr>
        <w:t xml:space="preserve"> a VO) do majetku města a následné svěření do správy SVSMP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uzavření konečné smlouvy kupní na převod odvodnění komunikace pomocí uličních vpustí do majetku města Plzně správy OSI MMP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uzavřením konečné smlouvy kupní na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539/6,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 546/20,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546/21,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546/22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Újezd. Získané pozemky doporučuje TÚ MMP svěřit do správy SVSMP.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Stavebníkem byla na OSI MMP předána projektová dokumentace skutečného provedení, geodetické zaměření a veškeré související doklady k odvodnění komunikace. Technická prohlídka stavby byla provedena dne 5. 4. 2013, stavba komunikace a VO je bez vad a nedodělků. Drobné nedodělky na zeleni musejí být odstraněny do podpisu smlouvy. Dokumentace byla předána na SVSMP.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Usnesením Rady MO Plzeň 4 č. 0191/13 ze dne 11. 9. 2013 bylo doporučeno Radě města Plzně souhlasit a Zastupitelstvu města Plzně schválit uzavření konečné kupní smlouvy v rámci stavby „RD v Plzni – Újezdě“,</w:t>
      </w:r>
    </w:p>
    <w:p w:rsidR="007A4897" w:rsidRDefault="007A4897" w:rsidP="007A489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výkup pozemků do majetku města Plzně: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546/21,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539/6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546/20 vše 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</w:t>
      </w:r>
    </w:p>
    <w:p w:rsidR="007A4897" w:rsidRDefault="007A4897" w:rsidP="007A489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převod vybudované TDI a VO do majetku města Plzně za obvyklých podmínek stanovených městem: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TDI (stavba komunikace, sadové úpravy)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546/20,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546/21,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546/22,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1185,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539/6,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6/22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2645/2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</w:t>
      </w:r>
    </w:p>
    <w:p w:rsidR="007A4897" w:rsidRDefault="007A4897" w:rsidP="007A48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Stavba VO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6/22,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539/6,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545/4,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1187/1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Újezd.</w:t>
      </w:r>
    </w:p>
    <w:p w:rsidR="007A4897" w:rsidRDefault="007A4897" w:rsidP="007A489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KNM RMP na svém zasedání dne 3. 10. 2013 doporučila Radě města Plzně souhlasit s majetkovou transakcí.</w:t>
      </w:r>
      <w:r w:rsidR="00376D46">
        <w:rPr>
          <w:sz w:val="24"/>
          <w:szCs w:val="24"/>
        </w:rPr>
        <w:t xml:space="preserve"> Rada města Plzně svým usnesením č. 1107 ze dne 17. 10. 2013 souhlasí s uzavřením navržených smluvních vztahů.</w:t>
      </w:r>
      <w:bookmarkStart w:id="0" w:name="_GoBack"/>
      <w:bookmarkEnd w:id="0"/>
    </w:p>
    <w:p w:rsidR="007A4897" w:rsidRDefault="007A4897" w:rsidP="007A4897">
      <w:pPr>
        <w:ind w:firstLine="284"/>
        <w:jc w:val="both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Předpokládaný cílový stav</w:t>
      </w:r>
    </w:p>
    <w:p w:rsidR="007A4897" w:rsidRDefault="007A4897" w:rsidP="007A4897">
      <w:pPr>
        <w:ind w:firstLine="0"/>
        <w:rPr>
          <w:sz w:val="24"/>
          <w:szCs w:val="24"/>
        </w:rPr>
      </w:pPr>
      <w:r>
        <w:rPr>
          <w:sz w:val="24"/>
          <w:szCs w:val="24"/>
        </w:rPr>
        <w:t>Majetkové vypořádání pozemků a staveb po dokončení stavby „RD v Plzni – Újezdě.</w:t>
      </w:r>
    </w:p>
    <w:p w:rsidR="007A4897" w:rsidRDefault="007A4897" w:rsidP="007A4897">
      <w:pPr>
        <w:ind w:firstLine="0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Navrhované varianty řešení</w:t>
      </w:r>
    </w:p>
    <w:p w:rsidR="007A4897" w:rsidRDefault="007A4897" w:rsidP="007A4897">
      <w:pPr>
        <w:ind w:firstLine="0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7A4897" w:rsidRDefault="007A4897" w:rsidP="007A4897">
      <w:pPr>
        <w:ind w:firstLine="0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Doporučená varianta řešení</w:t>
      </w:r>
    </w:p>
    <w:p w:rsidR="007A4897" w:rsidRDefault="007A4897" w:rsidP="007A4897">
      <w:pPr>
        <w:ind w:firstLine="0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7A4897" w:rsidRDefault="007A4897" w:rsidP="007A4897">
      <w:pPr>
        <w:ind w:firstLine="0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Finanční nároky řešení a možnosti finančního krytí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celkový výkup pozemků ve výši 18 042,- Kč a vkladové řízení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hrazeny z rozpočtu </w:t>
      </w:r>
      <w:proofErr w:type="gramStart"/>
      <w:r>
        <w:rPr>
          <w:sz w:val="24"/>
          <w:szCs w:val="24"/>
        </w:rPr>
        <w:t>MAJ</w:t>
      </w:r>
      <w:proofErr w:type="gramEnd"/>
      <w:r>
        <w:rPr>
          <w:sz w:val="24"/>
          <w:szCs w:val="24"/>
        </w:rPr>
        <w:t xml:space="preserve"> MMP.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Návrh termínů realizace a určení zodpovědných pracovníků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7A4897" w:rsidRDefault="007A4897" w:rsidP="007A4897">
      <w:pPr>
        <w:ind w:firstLine="0"/>
        <w:jc w:val="both"/>
        <w:rPr>
          <w:sz w:val="24"/>
          <w:szCs w:val="24"/>
        </w:rPr>
      </w:pPr>
    </w:p>
    <w:p w:rsidR="007A4897" w:rsidRDefault="007A4897" w:rsidP="007A4897">
      <w:pPr>
        <w:pStyle w:val="ostzahl"/>
      </w:pPr>
      <w:r>
        <w:t>Dříve přijatá usnesení orgánů města nebo městských obvodů, která s tímto návrhem souvisejí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ZMP č. 160/2008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Stanovisko TÚ MMP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Komise RMO Plzeň 4 č. 0191/13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z KNM RMP</w:t>
      </w:r>
    </w:p>
    <w:p w:rsidR="00376D46" w:rsidRDefault="00376D46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RMP č. 1107/2013.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</w:p>
    <w:p w:rsidR="007A4897" w:rsidRDefault="007A4897" w:rsidP="007A4897">
      <w:pPr>
        <w:pStyle w:val="ostzahl"/>
      </w:pPr>
      <w:r>
        <w:t>Závazky či pohledávky vůči městu Plzni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dni 23. 9. Nejsou evidovány žádné dluhy.</w:t>
      </w:r>
    </w:p>
    <w:p w:rsidR="007A4897" w:rsidRDefault="007A4897" w:rsidP="007A4897">
      <w:pPr>
        <w:pStyle w:val="vlevo"/>
      </w:pPr>
    </w:p>
    <w:p w:rsidR="007A4897" w:rsidRDefault="007A4897" w:rsidP="007A4897">
      <w:pPr>
        <w:pStyle w:val="ostzahl"/>
        <w:tabs>
          <w:tab w:val="num" w:pos="426"/>
        </w:tabs>
      </w:pPr>
      <w:r>
        <w:t>Přílohy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1 - žádost stavebníka a fyzických osob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– kolaudační souhlas + oprava zřejmých nesprávností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 – zápis z technické prohlídky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4 - usnesení Komise RMO Plzeň 4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 – stanovisko TÚ MMP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 – usnesení ZMP č. 160/2008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7 – zápis z KNM RMP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8 – zákres TDI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9 – katastrální mapy – modrá mapa, územní plán, letecký snímek a orientační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turistická</w:t>
      </w:r>
    </w:p>
    <w:p w:rsidR="00376D46" w:rsidRDefault="00376D46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10 – usnesení RMP č. 1107/2013.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Zpracovala: Jitka Kašparová, MAJ MMP</w:t>
      </w:r>
    </w:p>
    <w:p w:rsidR="007A4897" w:rsidRDefault="007A4897" w:rsidP="007A4897">
      <w:pPr>
        <w:pStyle w:val="vlevo"/>
        <w:rPr>
          <w:rFonts w:ascii="Times New Roman" w:hAnsi="Times New Roman" w:cs="Times New Roman"/>
        </w:rPr>
      </w:pPr>
    </w:p>
    <w:p w:rsidR="007A4897" w:rsidRDefault="007A4897" w:rsidP="007A4897">
      <w:pPr>
        <w:pStyle w:val="ostzahl"/>
        <w:numPr>
          <w:ilvl w:val="0"/>
          <w:numId w:val="0"/>
        </w:numPr>
        <w:tabs>
          <w:tab w:val="left" w:pos="708"/>
        </w:tabs>
        <w:ind w:left="357"/>
      </w:pPr>
    </w:p>
    <w:p w:rsidR="007A4897" w:rsidRDefault="007A4897" w:rsidP="007A4897"/>
    <w:p w:rsidR="00763863" w:rsidRDefault="00376D46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BE"/>
    <w:multiLevelType w:val="hybridMultilevel"/>
    <w:tmpl w:val="AAFC03D4"/>
    <w:lvl w:ilvl="0" w:tplc="89B6AE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B22"/>
    <w:multiLevelType w:val="hybridMultilevel"/>
    <w:tmpl w:val="1B0AA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7"/>
    <w:rsid w:val="00376D46"/>
    <w:rsid w:val="004901A9"/>
    <w:rsid w:val="007A4897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89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7A4897"/>
    <w:rPr>
      <w:sz w:val="24"/>
    </w:rPr>
  </w:style>
  <w:style w:type="paragraph" w:customStyle="1" w:styleId="vlevo">
    <w:name w:val="vlevo"/>
    <w:basedOn w:val="Normln"/>
    <w:link w:val="vlevoChar"/>
    <w:autoRedefine/>
    <w:rsid w:val="007A4897"/>
    <w:pPr>
      <w:ind w:firstLine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adpcent">
    <w:name w:val="nadpcent"/>
    <w:basedOn w:val="Normln"/>
    <w:next w:val="vlevo"/>
    <w:autoRedefine/>
    <w:rsid w:val="007A489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A4897"/>
    <w:pPr>
      <w:numPr>
        <w:numId w:val="1"/>
      </w:numPr>
      <w:tabs>
        <w:tab w:val="num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89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7A4897"/>
    <w:rPr>
      <w:sz w:val="24"/>
    </w:rPr>
  </w:style>
  <w:style w:type="paragraph" w:customStyle="1" w:styleId="vlevo">
    <w:name w:val="vlevo"/>
    <w:basedOn w:val="Normln"/>
    <w:link w:val="vlevoChar"/>
    <w:autoRedefine/>
    <w:rsid w:val="007A4897"/>
    <w:pPr>
      <w:ind w:firstLine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adpcent">
    <w:name w:val="nadpcent"/>
    <w:basedOn w:val="Normln"/>
    <w:next w:val="vlevo"/>
    <w:autoRedefine/>
    <w:rsid w:val="007A489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A4897"/>
    <w:pPr>
      <w:numPr>
        <w:numId w:val="1"/>
      </w:numPr>
      <w:tabs>
        <w:tab w:val="num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2</cp:revision>
  <cp:lastPrinted>2013-10-21T14:33:00Z</cp:lastPrinted>
  <dcterms:created xsi:type="dcterms:W3CDTF">2013-10-21T14:30:00Z</dcterms:created>
  <dcterms:modified xsi:type="dcterms:W3CDTF">2013-10-21T14:33:00Z</dcterms:modified>
</cp:coreProperties>
</file>