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AB" w:rsidRPr="00AB3F09" w:rsidRDefault="002963AB" w:rsidP="002963AB">
      <w:pPr>
        <w:pStyle w:val="Nadpis1"/>
        <w:jc w:val="center"/>
        <w:rPr>
          <w:caps/>
          <w:sz w:val="32"/>
          <w:szCs w:val="32"/>
        </w:rPr>
      </w:pPr>
      <w:r w:rsidRPr="00CC47FD">
        <w:rPr>
          <w:sz w:val="32"/>
          <w:szCs w:val="32"/>
        </w:rPr>
        <w:t>Důvodová</w:t>
      </w:r>
      <w:r w:rsidRPr="00AB3F09">
        <w:rPr>
          <w:caps/>
          <w:sz w:val="32"/>
          <w:szCs w:val="32"/>
        </w:rPr>
        <w:t xml:space="preserve"> </w:t>
      </w:r>
      <w:r w:rsidRPr="00CC47FD">
        <w:rPr>
          <w:sz w:val="32"/>
          <w:szCs w:val="32"/>
        </w:rPr>
        <w:t>zpráva</w:t>
      </w:r>
    </w:p>
    <w:p w:rsidR="002963AB" w:rsidRDefault="002963AB" w:rsidP="002963AB">
      <w:pPr>
        <w:pStyle w:val="nadpcent"/>
        <w:spacing w:after="0"/>
        <w:rPr>
          <w:caps w:val="0"/>
          <w:spacing w:val="0"/>
          <w:lang w:val="de-DE"/>
        </w:rPr>
      </w:pPr>
    </w:p>
    <w:p w:rsidR="002963AB" w:rsidRDefault="002963AB" w:rsidP="002963AB">
      <w:pPr>
        <w:jc w:val="center"/>
        <w:rPr>
          <w:lang w:val="de-DE"/>
        </w:rPr>
      </w:pPr>
    </w:p>
    <w:p w:rsidR="002963AB" w:rsidRDefault="002963AB" w:rsidP="002963AB">
      <w:pPr>
        <w:pStyle w:val="ostzahl"/>
      </w:pPr>
      <w:r>
        <w:t>Název problému a jeho charakteristika</w:t>
      </w:r>
    </w:p>
    <w:p w:rsidR="002963AB" w:rsidRDefault="002963AB" w:rsidP="002963AB">
      <w:pPr>
        <w:pStyle w:val="vlevo"/>
      </w:pPr>
      <w:r>
        <w:t>Směna pozemků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proofErr w:type="spellStart"/>
      <w:r>
        <w:t>Doudlevce</w:t>
      </w:r>
      <w:proofErr w:type="spellEnd"/>
      <w:r>
        <w:t xml:space="preserve"> mezi městem Plzní a společností BRUSH SEM s.r.o. (dále jen žadatel).</w:t>
      </w:r>
    </w:p>
    <w:p w:rsidR="002963AB" w:rsidRDefault="002963AB" w:rsidP="002963AB">
      <w:pPr>
        <w:pStyle w:val="ostzahl"/>
      </w:pPr>
      <w:r>
        <w:t>Konstatování současného stavu a jeho analýza</w:t>
      </w:r>
    </w:p>
    <w:p w:rsidR="002963AB" w:rsidRDefault="002963AB" w:rsidP="002963AB">
      <w:pPr>
        <w:jc w:val="both"/>
      </w:pPr>
      <w:r>
        <w:t xml:space="preserve">Již v roce 2005 se obrátil žadatel na MAJ MMP s žádostí o směnu podchodu, který slouží jako přístup na železniční zastávku Plzeň, </w:t>
      </w:r>
      <w:proofErr w:type="spellStart"/>
      <w:r>
        <w:t>Doudlevce</w:t>
      </w:r>
      <w:proofErr w:type="spellEnd"/>
      <w:r>
        <w:t xml:space="preserve">, za městský pozemek </w:t>
      </w:r>
      <w:proofErr w:type="spellStart"/>
      <w:r>
        <w:t>parc</w:t>
      </w:r>
      <w:proofErr w:type="spellEnd"/>
      <w:r>
        <w:t>. č. 859/11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proofErr w:type="spellStart"/>
      <w:r>
        <w:t>Doudlevce</w:t>
      </w:r>
      <w:proofErr w:type="spellEnd"/>
      <w:r>
        <w:t>, který žadatel využívá jako vstup do krytu civilní obrany ve vlastnictví žadatele. Jednání tehdy bylo ukončeno s tím, že se žadateli nepodařilo doložit vlastnické právo k podchodu.</w:t>
      </w:r>
    </w:p>
    <w:p w:rsidR="002963AB" w:rsidRDefault="002963AB" w:rsidP="002963AB">
      <w:pPr>
        <w:jc w:val="both"/>
      </w:pPr>
      <w:r>
        <w:t xml:space="preserve">Na konci roku 2011 byl na MAJ MMP postoupen dopis ze SVSMP (viz příloha č. 1), ve kterém žadatel navrhl obnovit jednání o směně pozemku </w:t>
      </w:r>
      <w:proofErr w:type="spellStart"/>
      <w:r>
        <w:t>parc</w:t>
      </w:r>
      <w:proofErr w:type="spellEnd"/>
      <w:r>
        <w:t xml:space="preserve">. č. 859/11 za část pozemku </w:t>
      </w:r>
      <w:proofErr w:type="spellStart"/>
      <w:r>
        <w:t>parc</w:t>
      </w:r>
      <w:proofErr w:type="spellEnd"/>
      <w:r>
        <w:t>. č. 245/2, oba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proofErr w:type="spellStart"/>
      <w:r>
        <w:t>Doudlevce</w:t>
      </w:r>
      <w:proofErr w:type="spellEnd"/>
      <w:r>
        <w:t xml:space="preserve">. TÚ MMP ve svém stanovisku požadoval získat do majetku města Plzně část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245/1, neboť se na něm nachází komunikace, chodník a zeleň, část pozemku </w:t>
      </w:r>
      <w:proofErr w:type="spellStart"/>
      <w:r>
        <w:t>parc</w:t>
      </w:r>
      <w:proofErr w:type="spellEnd"/>
      <w:r>
        <w:t xml:space="preserve">. č. 245/2 není nutné získat do majetku města Plzně (viz příloha č. 3). Poté, co byl žadatel seznámen s obsahem stanoviska TÚ MMP, navrhl rozšířit směnu o další pozemky nebo jejich části. Konkrétně se jedná o pozemky </w:t>
      </w:r>
      <w:proofErr w:type="spellStart"/>
      <w:r>
        <w:t>parc</w:t>
      </w:r>
      <w:proofErr w:type="spellEnd"/>
      <w:r>
        <w:t xml:space="preserve">. č. 247, 861 a části pozemků </w:t>
      </w:r>
      <w:proofErr w:type="spellStart"/>
      <w:r>
        <w:t>parc</w:t>
      </w:r>
      <w:proofErr w:type="spellEnd"/>
      <w:r>
        <w:t>. č. 244, 895/2, vše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proofErr w:type="spellStart"/>
      <w:r>
        <w:t>Doudlevce</w:t>
      </w:r>
      <w:proofErr w:type="spellEnd"/>
      <w:r>
        <w:t xml:space="preserve">. Také aktualizované stanovisko TÚ MMP souhlasí s rozšířením rozsahu směny (viz příloha č. 3). </w:t>
      </w:r>
    </w:p>
    <w:p w:rsidR="002963AB" w:rsidRDefault="002963AB" w:rsidP="002963AB">
      <w:pPr>
        <w:jc w:val="both"/>
      </w:pPr>
      <w:r>
        <w:t>Navrhovanou směnou získá město Plzeň pozemek o výměře 503 m</w:t>
      </w:r>
      <w:r>
        <w:rPr>
          <w:vertAlign w:val="superscript"/>
        </w:rPr>
        <w:t>2</w:t>
      </w:r>
      <w:r>
        <w:t>, žadatel získá pozemky o </w:t>
      </w:r>
      <w:r w:rsidR="00933672">
        <w:t xml:space="preserve">celkové </w:t>
      </w:r>
      <w:bookmarkStart w:id="0" w:name="_GoBack"/>
      <w:bookmarkEnd w:id="0"/>
      <w:r>
        <w:t>výměře 366 m</w:t>
      </w:r>
      <w:r>
        <w:rPr>
          <w:vertAlign w:val="superscript"/>
        </w:rPr>
        <w:t>2</w:t>
      </w:r>
      <w:r>
        <w:t>. Žadatel souhlasil s tím, že směna proběhne bez doplatku. Všechny pozemky budou oceněny v souladu s cenou dle dodatečných výkupů, tj. částkou 130,- Kč/m</w:t>
      </w:r>
      <w:r>
        <w:rPr>
          <w:vertAlign w:val="superscript"/>
        </w:rPr>
        <w:t>2</w:t>
      </w:r>
      <w:r>
        <w:t xml:space="preserve">, která bude cenou sjednanou. Město Plzeň uhradí celou částku daně z převodu nemovitostí. </w:t>
      </w:r>
    </w:p>
    <w:p w:rsidR="002963AB" w:rsidRPr="0071467D" w:rsidRDefault="002963AB" w:rsidP="002963AB">
      <w:pPr>
        <w:jc w:val="both"/>
      </w:pPr>
      <w:r>
        <w:t xml:space="preserve">Pozemek bude svěřen do správy SVSMP. </w:t>
      </w:r>
    </w:p>
    <w:p w:rsidR="002963AB" w:rsidRDefault="002963AB" w:rsidP="002963AB">
      <w:pPr>
        <w:pStyle w:val="vlevo"/>
      </w:pPr>
      <w:r>
        <w:t>Stanovisko MO Plzeň 3 ke směně je kladné (viz příloha č. 2).</w:t>
      </w:r>
    </w:p>
    <w:p w:rsidR="002963AB" w:rsidRDefault="002963AB" w:rsidP="002963AB">
      <w:pPr>
        <w:pStyle w:val="vlevo"/>
      </w:pPr>
      <w:r>
        <w:t>KNM doporučila RMP souhlasit s uzavřením směnné smlouvy (viz příloha č. 5). Po jednání v KNM byl vyhotoven SVSMP geometrický plán (viz příloha č. 7), na jehož základě byly upřesněny výměry jednotlivých pozemků.</w:t>
      </w:r>
    </w:p>
    <w:p w:rsidR="002D4284" w:rsidRDefault="002D4284" w:rsidP="002963AB">
      <w:pPr>
        <w:pStyle w:val="vlevo"/>
      </w:pPr>
      <w:r>
        <w:t>RMP s navrhovanou směnou souhlasila (viz příloha č. 8).</w:t>
      </w:r>
    </w:p>
    <w:p w:rsidR="002963AB" w:rsidRDefault="002963AB" w:rsidP="002963AB">
      <w:pPr>
        <w:pStyle w:val="ostzahl"/>
      </w:pPr>
      <w:r>
        <w:t>Předpokládaný cílový stav</w:t>
      </w:r>
    </w:p>
    <w:p w:rsidR="002963AB" w:rsidRDefault="002963AB" w:rsidP="002963AB">
      <w:pPr>
        <w:pStyle w:val="vlevo"/>
      </w:pPr>
      <w:r>
        <w:t>Narovnat vlastnické vztahy k pozemkům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proofErr w:type="spellStart"/>
      <w:r>
        <w:t>Doudlevce</w:t>
      </w:r>
      <w:proofErr w:type="spellEnd"/>
      <w:r>
        <w:t xml:space="preserve"> u areálu společnosti BRUSH SEM s.r.o., tj. uzavřít navrhovanou směnnou smlouvu.</w:t>
      </w:r>
    </w:p>
    <w:p w:rsidR="002963AB" w:rsidRDefault="002963AB" w:rsidP="002963AB">
      <w:pPr>
        <w:pStyle w:val="ostzahl"/>
      </w:pPr>
      <w:r>
        <w:t>Navrhované varianty řešení</w:t>
      </w:r>
    </w:p>
    <w:p w:rsidR="002963AB" w:rsidRDefault="002963AB" w:rsidP="002963AB">
      <w:pPr>
        <w:pStyle w:val="vlevo"/>
      </w:pPr>
      <w:r>
        <w:t>Viz návrh usnesení.</w:t>
      </w:r>
    </w:p>
    <w:p w:rsidR="002963AB" w:rsidRDefault="002963AB" w:rsidP="002963AB">
      <w:pPr>
        <w:pStyle w:val="ostzahl"/>
      </w:pPr>
      <w:r>
        <w:t>Doporučená varianta řešení</w:t>
      </w:r>
    </w:p>
    <w:p w:rsidR="002963AB" w:rsidRDefault="002963AB" w:rsidP="002963AB">
      <w:pPr>
        <w:pStyle w:val="vlevo"/>
      </w:pPr>
      <w:r>
        <w:t>Viz návrh usnesení.</w:t>
      </w:r>
    </w:p>
    <w:p w:rsidR="002963AB" w:rsidRDefault="002963AB" w:rsidP="002963AB">
      <w:pPr>
        <w:pStyle w:val="ostzahl"/>
      </w:pPr>
      <w:r>
        <w:t>Finanční nároky řešení a možnosti finančního krytí</w:t>
      </w:r>
    </w:p>
    <w:p w:rsidR="002963AB" w:rsidRDefault="002963AB" w:rsidP="002963AB">
      <w:pPr>
        <w:pStyle w:val="vlevo"/>
      </w:pPr>
      <w:r>
        <w:t>Úhrada daně z převodu nemovitostí. Geometrický plán vyhotovila SVSMP. Směna se uskuteční bez finančního vyrovnání.</w:t>
      </w:r>
    </w:p>
    <w:p w:rsidR="002963AB" w:rsidRDefault="002963AB" w:rsidP="002963AB">
      <w:pPr>
        <w:pStyle w:val="ostzahl"/>
      </w:pPr>
      <w:r>
        <w:t>Návrh termínů realizace a určení zodpovědných pracovníků</w:t>
      </w:r>
    </w:p>
    <w:p w:rsidR="002963AB" w:rsidRDefault="002963AB" w:rsidP="002963AB">
      <w:pPr>
        <w:pStyle w:val="Zkladntextodsazen"/>
        <w:ind w:firstLine="0"/>
      </w:pPr>
      <w:r>
        <w:t>Viz návrh usnesení.</w:t>
      </w:r>
    </w:p>
    <w:p w:rsidR="002963AB" w:rsidRDefault="002963AB" w:rsidP="002963AB">
      <w:pPr>
        <w:pStyle w:val="ostzahl"/>
      </w:pPr>
      <w:r>
        <w:t>Dříve přijatá usnesení orgánů města nebo městských obvodů, která s tímto návrhem souvisejí</w:t>
      </w:r>
    </w:p>
    <w:p w:rsidR="002963AB" w:rsidRDefault="002963AB" w:rsidP="002963AB">
      <w:pPr>
        <w:pStyle w:val="vlevo"/>
      </w:pPr>
      <w:r>
        <w:t>Usnesení RMO Plzeň 3 č. 211/13,</w:t>
      </w:r>
    </w:p>
    <w:p w:rsidR="002D4284" w:rsidRDefault="002963AB" w:rsidP="002963AB">
      <w:pPr>
        <w:pStyle w:val="vlevo"/>
      </w:pPr>
      <w:r>
        <w:t>zápis z KNM ze dne 15. 8. 2013</w:t>
      </w:r>
      <w:r w:rsidR="002D4284">
        <w:t>,</w:t>
      </w:r>
    </w:p>
    <w:p w:rsidR="002963AB" w:rsidRDefault="002D4284" w:rsidP="002963AB">
      <w:pPr>
        <w:pStyle w:val="vlevo"/>
      </w:pPr>
      <w:r>
        <w:t>usnesení RMP č. 1097/2013</w:t>
      </w:r>
      <w:r w:rsidR="002963AB">
        <w:t>.</w:t>
      </w:r>
    </w:p>
    <w:p w:rsidR="002963AB" w:rsidRDefault="002963AB" w:rsidP="002963AB">
      <w:pPr>
        <w:pStyle w:val="ostzahl"/>
      </w:pPr>
      <w:r>
        <w:lastRenderedPageBreak/>
        <w:t>Závazky či pohledávky vůči městu Plzni</w:t>
      </w:r>
    </w:p>
    <w:p w:rsidR="002963AB" w:rsidRDefault="002963AB" w:rsidP="002963AB">
      <w:pPr>
        <w:pStyle w:val="vlevo"/>
      </w:pPr>
      <w:r>
        <w:t>Ke dni 30. 9. 2013 žadatel žádné neměl.</w:t>
      </w:r>
    </w:p>
    <w:p w:rsidR="002963AB" w:rsidRDefault="002963AB" w:rsidP="002963AB">
      <w:pPr>
        <w:pStyle w:val="ostzahl"/>
      </w:pPr>
      <w:r>
        <w:t>Přílohy</w:t>
      </w:r>
    </w:p>
    <w:p w:rsidR="002963AB" w:rsidRDefault="002963AB" w:rsidP="002963AB">
      <w:pPr>
        <w:pStyle w:val="vlevo"/>
      </w:pPr>
      <w:r>
        <w:t>Příloha č. 1 – žádost</w:t>
      </w:r>
    </w:p>
    <w:p w:rsidR="002963AB" w:rsidRDefault="002963AB" w:rsidP="002963AB">
      <w:pPr>
        <w:pStyle w:val="vlevo"/>
      </w:pPr>
      <w:r>
        <w:t>Příloha č. 2 – usnesení RMO Plzeň 3 č. 211/13</w:t>
      </w:r>
    </w:p>
    <w:p w:rsidR="002963AB" w:rsidRDefault="002963AB" w:rsidP="002963AB">
      <w:pPr>
        <w:pStyle w:val="vlevo"/>
      </w:pPr>
      <w:r>
        <w:t>Příloha č. 3 – stanoviska TÚ MMP</w:t>
      </w:r>
    </w:p>
    <w:p w:rsidR="002963AB" w:rsidRDefault="002963AB" w:rsidP="002963AB">
      <w:pPr>
        <w:pStyle w:val="vlevo"/>
      </w:pPr>
      <w:r>
        <w:t>Příloha č. 4 – fotografie</w:t>
      </w:r>
    </w:p>
    <w:p w:rsidR="002963AB" w:rsidRDefault="002963AB" w:rsidP="002963AB">
      <w:pPr>
        <w:pStyle w:val="vlevo"/>
      </w:pPr>
      <w:r>
        <w:t>Příloha č. 5 – zápis z KNM ze dne 15. 8. 2013</w:t>
      </w:r>
    </w:p>
    <w:p w:rsidR="002963AB" w:rsidRDefault="002963AB" w:rsidP="002963AB">
      <w:pPr>
        <w:pStyle w:val="vlevo"/>
      </w:pPr>
      <w:r>
        <w:t>Příloha č. 6 – modrá mapa, územní plán, letecký snímek, plán města</w:t>
      </w:r>
    </w:p>
    <w:p w:rsidR="002963AB" w:rsidRDefault="002963AB" w:rsidP="002963AB">
      <w:pPr>
        <w:pStyle w:val="vlevo"/>
      </w:pPr>
      <w:r>
        <w:t>Příloha č. 7 – geometrický plán</w:t>
      </w:r>
    </w:p>
    <w:p w:rsidR="002D4284" w:rsidRDefault="002D4284" w:rsidP="002963AB">
      <w:pPr>
        <w:pStyle w:val="vlevo"/>
      </w:pPr>
      <w:r>
        <w:t>Příloha č. 8 – usnesení RMP č. 1097/2013</w:t>
      </w:r>
    </w:p>
    <w:p w:rsidR="002963AB" w:rsidRDefault="002963AB" w:rsidP="002963AB">
      <w:pPr>
        <w:pStyle w:val="vlevo"/>
      </w:pPr>
    </w:p>
    <w:p w:rsidR="002963AB" w:rsidRDefault="002963AB" w:rsidP="002963AB">
      <w:pPr>
        <w:pStyle w:val="vlevo"/>
      </w:pPr>
    </w:p>
    <w:p w:rsidR="002963AB" w:rsidRDefault="002963AB" w:rsidP="002963AB">
      <w:pPr>
        <w:pStyle w:val="vlevo"/>
      </w:pPr>
      <w:r>
        <w:t>Přílohy k dispozici u předkladatele: výpisy z katastru nemovitostí, znalecký posudek</w:t>
      </w:r>
    </w:p>
    <w:p w:rsidR="00316938" w:rsidRDefault="00316938"/>
    <w:sectPr w:rsidR="00316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00DAF"/>
    <w:multiLevelType w:val="hybridMultilevel"/>
    <w:tmpl w:val="03DA03F4"/>
    <w:lvl w:ilvl="0" w:tplc="1B9A688A">
      <w:start w:val="1"/>
      <w:numFmt w:val="decimal"/>
      <w:pStyle w:val="ostzah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AB"/>
    <w:rsid w:val="002963AB"/>
    <w:rsid w:val="002D4284"/>
    <w:rsid w:val="00316938"/>
    <w:rsid w:val="00933672"/>
    <w:rsid w:val="00E8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6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963AB"/>
    <w:pPr>
      <w:keepNext/>
      <w:outlineLvl w:val="0"/>
    </w:pPr>
    <w:rPr>
      <w:rFonts w:eastAsia="Arial Unicode MS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63AB"/>
    <w:rPr>
      <w:rFonts w:ascii="Times New Roman" w:eastAsia="Arial Unicode MS" w:hAnsi="Times New Roman" w:cs="Times New Roman"/>
      <w:b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2963AB"/>
    <w:pPr>
      <w:ind w:firstLine="720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2963A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2963AB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2963AB"/>
    <w:pPr>
      <w:spacing w:after="480"/>
      <w:jc w:val="center"/>
    </w:pPr>
    <w:rPr>
      <w:b/>
      <w:bCs/>
      <w:caps/>
      <w:spacing w:val="22"/>
      <w:sz w:val="22"/>
      <w:szCs w:val="20"/>
      <w:lang w:val="en-AU"/>
    </w:rPr>
  </w:style>
  <w:style w:type="paragraph" w:customStyle="1" w:styleId="ostzahl">
    <w:name w:val="ostzahl"/>
    <w:basedOn w:val="Normln"/>
    <w:next w:val="vlevo"/>
    <w:autoRedefine/>
    <w:rsid w:val="002963AB"/>
    <w:pPr>
      <w:numPr>
        <w:numId w:val="1"/>
      </w:numPr>
      <w:tabs>
        <w:tab w:val="clear" w:pos="720"/>
      </w:tabs>
      <w:spacing w:before="40" w:after="40"/>
      <w:ind w:left="357" w:hanging="357"/>
      <w:jc w:val="both"/>
    </w:pPr>
    <w:rPr>
      <w:b/>
      <w:spacing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6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963AB"/>
    <w:pPr>
      <w:keepNext/>
      <w:outlineLvl w:val="0"/>
    </w:pPr>
    <w:rPr>
      <w:rFonts w:eastAsia="Arial Unicode MS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63AB"/>
    <w:rPr>
      <w:rFonts w:ascii="Times New Roman" w:eastAsia="Arial Unicode MS" w:hAnsi="Times New Roman" w:cs="Times New Roman"/>
      <w:b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2963AB"/>
    <w:pPr>
      <w:ind w:firstLine="720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2963A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2963AB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2963AB"/>
    <w:pPr>
      <w:spacing w:after="480"/>
      <w:jc w:val="center"/>
    </w:pPr>
    <w:rPr>
      <w:b/>
      <w:bCs/>
      <w:caps/>
      <w:spacing w:val="22"/>
      <w:sz w:val="22"/>
      <w:szCs w:val="20"/>
      <w:lang w:val="en-AU"/>
    </w:rPr>
  </w:style>
  <w:style w:type="paragraph" w:customStyle="1" w:styleId="ostzahl">
    <w:name w:val="ostzahl"/>
    <w:basedOn w:val="Normln"/>
    <w:next w:val="vlevo"/>
    <w:autoRedefine/>
    <w:rsid w:val="002963AB"/>
    <w:pPr>
      <w:numPr>
        <w:numId w:val="1"/>
      </w:numPr>
      <w:tabs>
        <w:tab w:val="clear" w:pos="720"/>
      </w:tabs>
      <w:spacing w:before="40" w:after="40"/>
      <w:ind w:left="357" w:hanging="357"/>
      <w:jc w:val="both"/>
    </w:pPr>
    <w:rPr>
      <w:b/>
      <w:spacing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466</Words>
  <Characters>2754</Characters>
  <Application>Microsoft Office Word</Application>
  <DocSecurity>0</DocSecurity>
  <Lines>22</Lines>
  <Paragraphs>6</Paragraphs>
  <ScaleCrop>false</ScaleCrop>
  <Company>.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Kotáb Richard</dc:creator>
  <cp:keywords/>
  <dc:description/>
  <cp:lastModifiedBy>Kotáb Richard</cp:lastModifiedBy>
  <cp:revision>4</cp:revision>
  <dcterms:created xsi:type="dcterms:W3CDTF">2013-10-21T11:02:00Z</dcterms:created>
  <dcterms:modified xsi:type="dcterms:W3CDTF">2013-10-22T04:46:00Z</dcterms:modified>
</cp:coreProperties>
</file>