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11" w:rsidRPr="007E7811" w:rsidRDefault="007E7811" w:rsidP="007E7811">
      <w:pPr>
        <w:tabs>
          <w:tab w:val="left" w:pos="1134"/>
        </w:tabs>
        <w:rPr>
          <w:b/>
          <w:sz w:val="22"/>
          <w:szCs w:val="22"/>
        </w:rPr>
      </w:pPr>
      <w:r w:rsidRPr="007E7811">
        <w:rPr>
          <w:b/>
          <w:sz w:val="22"/>
          <w:szCs w:val="22"/>
        </w:rPr>
        <w:t>Zápis z jednání KNM dne 5. 11. 2013</w:t>
      </w:r>
    </w:p>
    <w:p w:rsidR="007E7811" w:rsidRDefault="007E7811" w:rsidP="007E7811">
      <w:pPr>
        <w:tabs>
          <w:tab w:val="left" w:pos="1134"/>
        </w:tabs>
        <w:rPr>
          <w:sz w:val="22"/>
          <w:szCs w:val="22"/>
          <w:u w:val="single"/>
        </w:rPr>
      </w:pPr>
    </w:p>
    <w:p w:rsidR="007E7811" w:rsidRPr="00804FC8" w:rsidRDefault="007E7811" w:rsidP="007E7811">
      <w:pPr>
        <w:tabs>
          <w:tab w:val="left" w:pos="1134"/>
        </w:tabs>
        <w:rPr>
          <w:sz w:val="22"/>
          <w:szCs w:val="22"/>
          <w:u w:val="single"/>
        </w:rPr>
      </w:pPr>
      <w:r w:rsidRPr="00804FC8">
        <w:rPr>
          <w:sz w:val="22"/>
          <w:szCs w:val="22"/>
          <w:u w:val="single"/>
        </w:rPr>
        <w:t xml:space="preserve">MAJ/1  </w:t>
      </w:r>
      <w:r w:rsidRPr="00804FC8">
        <w:rPr>
          <w:sz w:val="22"/>
          <w:szCs w:val="22"/>
          <w:u w:val="single"/>
        </w:rPr>
        <w:tab/>
        <w:t>Konečné vypořádání lokality Stráň, k.ú. Červený Hrádek u Plzně, IRS</w:t>
      </w:r>
    </w:p>
    <w:p w:rsidR="007E7811" w:rsidRPr="00753A33" w:rsidRDefault="007E7811" w:rsidP="007E7811">
      <w:pPr>
        <w:jc w:val="both"/>
      </w:pPr>
      <w:r w:rsidRPr="00753A33">
        <w:t xml:space="preserve">KNM </w:t>
      </w:r>
      <w:r>
        <w:t>hlasovala o návrhu</w:t>
      </w:r>
      <w:r w:rsidRPr="00753A33">
        <w:t>:</w:t>
      </w:r>
    </w:p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1.</w:t>
      </w:r>
      <w:r w:rsidRPr="00753A33">
        <w:tab/>
      </w:r>
    </w:p>
    <w:p w:rsidR="007E7811" w:rsidRPr="00753A33" w:rsidRDefault="007E7811" w:rsidP="007E7811">
      <w:pPr>
        <w:jc w:val="both"/>
      </w:pPr>
      <w:r w:rsidRPr="00753A33">
        <w:t>Souhlasit s uzavřením kupní smlouvy na TDI s Ing. Vladimírem Nechutným, Soukenická 5, Plzeň, insolvenčním správcem společnosti I.R.S. rozvojová a stavební s.r.o., IČ 61779113, Plzeň, Masarykova 102, jako prodávajícím a městem Plzní jako kupujícím, a to</w:t>
      </w:r>
    </w:p>
    <w:p w:rsidR="007E7811" w:rsidRPr="00753A33" w:rsidRDefault="007E7811" w:rsidP="007E7811">
      <w:pPr>
        <w:jc w:val="both"/>
      </w:pPr>
      <w:r w:rsidRPr="00753A33">
        <w:rPr>
          <w:b/>
        </w:rPr>
        <w:t>Obytný soubor Stráň k.ú. Újezd a Červený Hrádek u Plzně</w:t>
      </w:r>
      <w:r w:rsidRPr="00753A33">
        <w:t>:</w:t>
      </w:r>
    </w:p>
    <w:p w:rsidR="007E7811" w:rsidRPr="00753A33" w:rsidRDefault="007E7811" w:rsidP="007E7811">
      <w:pPr>
        <w:jc w:val="both"/>
      </w:pPr>
      <w:r w:rsidRPr="00753A33">
        <w:t xml:space="preserve">- nezkolaudované komunikace včetně odvodnění a sadových úprav na pozemcích parc.č. 1071, 1072, 1073, 1074, 1077/5, 1077/6, 1077/7, 1076/2 (vznik z pozemku parc.č. 1076/2 dle GP č. 1116-91/2010) 1076/3, 1255/155, 1255/154, 1255/93, 1255/97, 1255/99, 1255/103, 1255/107, 1255/111, 1255/113, 1255/115, 1255/123, 1255/122, 1255/126, 1255/129, 1255/132, 1255/147, 1255/146, 1255/148, 1255/153, 1255/46, 1255/41, 1255/40, 1255/39, 1255/38, 1255/34, 1255/30, 1255/27, 1255/24, 1255/21, 1255/73, 1255/78, 1255/83, 1255/7, 1255/8, 1255/15, 1255/87, 1255/82, 1255/77, 1255/68, 1255/63, 1255/60, 1255/59, 1255/54, 1255/51, 1255/101, 1255/72, 1255/306 (vznik z pozemku parc.č. 1255/156 dle GP č. 1116-91/2010), 1077/4, 1069, 1255/69, 1255/70, 1255/71, 1255/102, 1255/138, 1255/142, 1255/157, 1067, 1068, 1255/40, 1255/41 k.ú. Újezd a na pozemcích parc.č. 266/8, 266/9, 266/10, 266/11, 266/12, 266/13, 266/14, 266/16, 269/6, 266/15, 269/4, 269/5, 282/8, 756, 270/3, 267/7, 267/8, 271/18, 282/29 k.ú. Červený Hrádek u Plzně </w:t>
      </w:r>
    </w:p>
    <w:p w:rsidR="007E7811" w:rsidRPr="00753A33" w:rsidRDefault="007E7811" w:rsidP="007E7811">
      <w:pPr>
        <w:jc w:val="both"/>
      </w:pPr>
      <w:r w:rsidRPr="00753A33">
        <w:t>- nezkolaudované veřejné osvětlení na pozemcích parc.č. 1071, 1072, 1073, 1074, 1077/5, 1077/6, 1077/7, 1076/2 (vznik z pozemku parc.č. 1076/2 dle GP č. 1116-91/2010) 1076/3, 1255/155, 1255/154, 1255/93, 1255/97, 1255/99, 1255/103, 1255/107, 1255/111, 1255/113, 1255/115, 1255/123, 1255/122, 1255/126, 1255/129, 1255/132, 1255/147, 1255/146, 1255/148, 1255/153, 1255/46, 1255/41, 1255/40, 1255/39, 1255/38, 1255/34, 1255/30, 1255/27, 1255/24, 1255/21, 1255/7, 1255/8, 1255/15, 1255/87, 1255/82, 1255/77, 1255/68, 1255/63, 1255/60, 1255/59, 1255/54, 1255/51, 1255/101, 1255/72, 1255/306 (vznik z pozemku parc.č. 1255/156 dle GP č. 1116-91/2010), 1255/69, 1255/70, 1255/71, 1255/102, 1255/106, 1255/138, 1255/142, 1255/143, 1255/157, 1255/280, 1255/341, 1255/16 a 1226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k.ú. Újezd a na pozemcích parc.č. 266/16, 269/6, 282/8, a 282/29 k.ú. Červený Hrádek u Plzně</w:t>
      </w:r>
    </w:p>
    <w:p w:rsidR="007E7811" w:rsidRPr="00753A33" w:rsidRDefault="007E7811" w:rsidP="007E7811">
      <w:pPr>
        <w:jc w:val="both"/>
      </w:pPr>
      <w:r w:rsidRPr="00753A33">
        <w:t>- vodovodní řady V-1, V-2, V-3 a V-4 PVC DN 80 na pozemcích parc.č. 1255/8, 1255/83, 1255/24, 1255/27, 1255/30, 1255/34, 1255/38, 1255/39, 1255/40, 1255/41, 1255/46, 1255/153, 1255/51, 1255/54, 1255/59, 1255/60, 1255/63, 1255/68, 1255/72, 1255/77, 1255/82, 1255/87, 1255/15, 1074, 1072, 1255/99, 1255/101, 1255/103, 1255/107, 1255/111, 1255/113, 1255/115, 1255/123, 1255/122, 1255/126, 1255/129, 1255/132, 1255/138, 1255/142, 1255/157, 1255/147, 1255/146, 1255/148  k.ú. Újezd a na pozemcích parc.č. 282/8, 1226, 270/3, 266/16, 269/6, 267/7, 266/14, 266/13 k.ú. Červený Hrádek u Plzně specifikované kolaudačními rozhodnutími č.j. MMP/131103/11 a č.j. MMP/131916/11 ze dne 26. 7. 2011</w:t>
      </w:r>
    </w:p>
    <w:p w:rsidR="007E7811" w:rsidRPr="00753A33" w:rsidRDefault="007E7811" w:rsidP="007E7811">
      <w:pPr>
        <w:jc w:val="both"/>
      </w:pPr>
      <w:r w:rsidRPr="00753A33">
        <w:t>- nezkolaudované splaškové kanalizační stoky S, SA, SA-1, SB, SC a SD na pozemcích parc.č. 1226, 1072, 1073, 1255/8, 1255/83, 1255/78, 1255/27, 1255/30, 1255/34, 1255/38, 1255/40, 1255/41, 1255/46, 1255/153, 1255/51, 1255/54, 1255/59, 1255/60, 1255/63, 1255/68, 1255/72, 1255/77, 1255/82, 1255/87, 1255/102, 1255/103, 1255/148, 1255/146, 1255/147, 1255/157, 1255/142, 1255/138, 1255/132, 1255/129, 1255/126, 1255/122, 1255/123, 1255/115, 1255/113, 1255/111, 1255/107, 1255/101, 1069, 1026/1, 1025/1  k.ú. Újezd a na pozemcích parc.č. 266/11, 266/12, 266/13, 266/14, 267/7, 269/6 k.ú. Červený Hrádek u Plzně</w:t>
      </w:r>
    </w:p>
    <w:p w:rsidR="007E7811" w:rsidRPr="00753A33" w:rsidRDefault="007E7811" w:rsidP="007E7811">
      <w:pPr>
        <w:jc w:val="both"/>
      </w:pPr>
      <w:r w:rsidRPr="00753A33">
        <w:lastRenderedPageBreak/>
        <w:t>- nezkolaudované dešťové kanalizační stoky D, DA, DA-1, DB, DC a DD na pozemcích parc.č. 1255/78, 1255/27, 1255/30, 1255/34, 1255/38, 1255/40, 1255/41, 1255/46, 1255/153, 1255/51, 1255/54, 1255/59, 1255/60, 1255/63, 1255/68, 1255/72, 1255/77, 1255/82, 1255/87, 1255/102, 1255/103, 1255/148, 1255/146, 1255/147, 1255/157, 1255/142, 1255/138, 1255/132, 1255/129, 1255/126, 1255/122, 1255/123, 1255/115, 1255/113, 1255/111, 1255/107, 1069, 1227/1, 1066/1, 1026/2, 1026/1 k.ú. Újezd a na pozemcích parc.č. 266/10, 266/11, 266/12, 266/13, 267/8, 267/7, 269/6 k.ú. Červený Hrádek u Plzně</w:t>
      </w:r>
    </w:p>
    <w:p w:rsidR="007E7811" w:rsidRPr="00753A33" w:rsidRDefault="007E7811" w:rsidP="007E7811">
      <w:pPr>
        <w:jc w:val="both"/>
      </w:pPr>
      <w:r w:rsidRPr="00753A33">
        <w:rPr>
          <w:b/>
        </w:rPr>
        <w:t>Chodníky a vjezdy pro parcely parc.č. 1061/2, 1061/3, 1063/1 a 1063/4 ul. V Mokřinách k.ú. Újezd</w:t>
      </w:r>
      <w:r w:rsidRPr="00753A33">
        <w:t>:</w:t>
      </w:r>
    </w:p>
    <w:p w:rsidR="007E7811" w:rsidRPr="00753A33" w:rsidRDefault="007E7811" w:rsidP="007E7811">
      <w:pPr>
        <w:numPr>
          <w:ilvl w:val="0"/>
          <w:numId w:val="1"/>
        </w:numPr>
        <w:ind w:left="0" w:firstLine="0"/>
        <w:jc w:val="both"/>
      </w:pPr>
      <w:r w:rsidRPr="00753A33">
        <w:t>na pozemcích parc.č. 1067, 1068, 1255/40, 1255/41, 1227/2 k.ú. Újezd - část nezkolaudovaná a část specifikovaná kolaudačním rozhodnutím č.j. UMO4/17561/11 ze dne 17. 8. 2011,</w:t>
      </w:r>
    </w:p>
    <w:p w:rsidR="007E7811" w:rsidRPr="00753A33" w:rsidRDefault="007E7811" w:rsidP="007E7811">
      <w:pPr>
        <w:jc w:val="both"/>
      </w:pPr>
      <w:r w:rsidRPr="00753A33">
        <w:rPr>
          <w:b/>
        </w:rPr>
        <w:t>Propojení ulic Červenohrádecká V Mokřinách k.ú. Červený Hrádek u Plzně</w:t>
      </w:r>
      <w:r w:rsidRPr="00753A33">
        <w:t>:</w:t>
      </w:r>
    </w:p>
    <w:p w:rsidR="007E7811" w:rsidRPr="00753A33" w:rsidRDefault="007E7811" w:rsidP="007E7811">
      <w:pPr>
        <w:numPr>
          <w:ilvl w:val="0"/>
          <w:numId w:val="1"/>
        </w:numPr>
        <w:ind w:left="0" w:firstLine="0"/>
        <w:jc w:val="both"/>
      </w:pPr>
      <w:r w:rsidRPr="00753A33">
        <w:t>komunikace na pozemcích parc.č. 266/17, 268/4, 266/3, 759/1 a 270/1 k.ú. Červený Hrádek u Plzně specifikovaná kolaudačním rozhodnutím č.j. MMP/017383/10 ze dne 28. 1. 2010</w:t>
      </w:r>
    </w:p>
    <w:p w:rsidR="007E7811" w:rsidRPr="00753A33" w:rsidRDefault="007E7811" w:rsidP="007E7811">
      <w:pPr>
        <w:numPr>
          <w:ilvl w:val="0"/>
          <w:numId w:val="1"/>
        </w:numPr>
        <w:ind w:left="0" w:firstLine="0"/>
        <w:jc w:val="both"/>
      </w:pPr>
      <w:r w:rsidRPr="00753A33">
        <w:t>veřejné osvětlení na pozemcích parc.č. 266/17, 268/4, 266/3 a 759/1 k.ú. Červený Hrádek u Plzně specifikované kolaudačním rozhodnutím č.j. MMP/017383/10 ze dne 28. 1. 2010.</w:t>
      </w:r>
    </w:p>
    <w:p w:rsidR="007E7811" w:rsidRPr="00753A33" w:rsidRDefault="007E7811" w:rsidP="007E7811">
      <w:pPr>
        <w:jc w:val="both"/>
      </w:pPr>
      <w:r w:rsidRPr="00753A33">
        <w:t xml:space="preserve">TDI se převádí za </w:t>
      </w:r>
      <w:r w:rsidRPr="00753A33">
        <w:rPr>
          <w:szCs w:val="24"/>
        </w:rPr>
        <w:t xml:space="preserve">smluvní kupní cenu stanovenou jako 1% z ceny administrativní stanovené </w:t>
      </w:r>
      <w:r w:rsidRPr="00F31B8D">
        <w:rPr>
          <w:szCs w:val="24"/>
        </w:rPr>
        <w:t xml:space="preserve">dle znaleckého posudku č. 1155/2012, tj. </w:t>
      </w:r>
      <w:r w:rsidR="003633DB" w:rsidRPr="00F31B8D">
        <w:rPr>
          <w:szCs w:val="24"/>
        </w:rPr>
        <w:t>221</w:t>
      </w:r>
      <w:r w:rsidR="00F31B8D">
        <w:rPr>
          <w:szCs w:val="24"/>
        </w:rPr>
        <w:t> </w:t>
      </w:r>
      <w:r w:rsidR="003633DB" w:rsidRPr="00F31B8D">
        <w:rPr>
          <w:szCs w:val="24"/>
        </w:rPr>
        <w:t>568</w:t>
      </w:r>
      <w:r w:rsidR="00F31B8D">
        <w:rPr>
          <w:szCs w:val="24"/>
        </w:rPr>
        <w:t>,-</w:t>
      </w:r>
      <w:bookmarkStart w:id="0" w:name="_GoBack"/>
      <w:bookmarkEnd w:id="0"/>
      <w:r w:rsidRPr="00F31B8D">
        <w:rPr>
          <w:szCs w:val="24"/>
        </w:rPr>
        <w:t xml:space="preserve"> Kč, </w:t>
      </w:r>
      <w:r w:rsidRPr="00F31B8D">
        <w:t xml:space="preserve">která bude uhrazena z rozpočtu Odboru </w:t>
      </w:r>
      <w:r w:rsidRPr="00753A33">
        <w:t>nabývání majetku MMP do 10 dnů po podpisu kupní smlouvy.</w:t>
      </w:r>
    </w:p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2.</w:t>
      </w:r>
    </w:p>
    <w:p w:rsidR="007E7811" w:rsidRPr="00753A33" w:rsidRDefault="007E7811" w:rsidP="007E7811">
      <w:pPr>
        <w:jc w:val="both"/>
      </w:pPr>
      <w:r w:rsidRPr="00753A33">
        <w:t xml:space="preserve">Souhlasit s uzavřením kupní smlouvy s Ing. Vladimírem Nechutným, Soukenická 5, Plzeň, insolvenčním správcem společnosti I.R.S. rozvojová a stavební s.r.o., IČ 61779113, Plzeň, Masarykova 102, jako prodávajícím a městem Plzní jako kupujícím na odkoupení pozemků parc.č. </w:t>
      </w:r>
    </w:p>
    <w:p w:rsidR="007E7811" w:rsidRPr="00753A33" w:rsidRDefault="007E7811" w:rsidP="007E7811">
      <w:pPr>
        <w:jc w:val="both"/>
      </w:pPr>
      <w:r w:rsidRPr="00753A33">
        <w:t>1067 (orná půda) o výměře 69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1068 (orná půda) o výměře 148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1069 (orná půda) o výměře 673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1071 (trvalý travní porost) o výměře 44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1072 (orná půda) o výměře 111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1073 (orná půda) o výměře 276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1074 (trvalý travní porost) o výměře 157 m</w:t>
      </w:r>
      <w:r w:rsidRPr="00753A33">
        <w:rPr>
          <w:vertAlign w:val="superscript"/>
        </w:rPr>
        <w:t>2</w:t>
      </w:r>
      <w:r w:rsidRPr="00753A33">
        <w:t xml:space="preserve">, </w:t>
      </w:r>
    </w:p>
    <w:p w:rsidR="007E7811" w:rsidRPr="00753A33" w:rsidRDefault="007E7811" w:rsidP="007E7811">
      <w:pPr>
        <w:jc w:val="both"/>
      </w:pPr>
      <w:r w:rsidRPr="00753A33">
        <w:t>1076/3 (ostatní plocha, ostatní komunikace) o výměře 82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1077/4 (trvalý travní porost) o výměře 74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1077/5 (orná půda) o výměře 77 m</w:t>
      </w:r>
      <w:r w:rsidRPr="00753A33">
        <w:rPr>
          <w:vertAlign w:val="superscript"/>
        </w:rPr>
        <w:t>2</w:t>
      </w:r>
    </w:p>
    <w:p w:rsidR="007E7811" w:rsidRPr="00753A33" w:rsidRDefault="007E7811" w:rsidP="007E7811">
      <w:pPr>
        <w:jc w:val="both"/>
      </w:pPr>
      <w:r w:rsidRPr="00753A33">
        <w:t>1077/6 (ostatní plocha, ostatní komunikace) o výměře 121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1077/7 (ostatní plocha, ostatní komunikace) o výměře 24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1255/7 (orná půda) o výměře 3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1255/8 (orná půda) o výměře 426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1255/15 (trvalý travní porost) o výměře 105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1255/21 (orná půda) o výměře 58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1255/39 (trvalý travní porost) o výměře 39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1255/40 (orná půda) o výměře 289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1255/41 (orná půda) o výměře 336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1255/46 (orná půda) o výměře 111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1255/51 (orná půda) o výměře 30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1255/54 (orná půda) o výměře 229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lastRenderedPageBreak/>
        <w:t>1255/59 (orná půda) o výměře 85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1255/60 (trvalý travní porost) o výměře 141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1255/63 (trvalý travní porost) o výměře 224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1255/68 (trvalý travní porost) o výměře 236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1255/69 (orná půda) o výměře 155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1255/70 (orná půda) o výměře 80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1255/71 (trvalý travní porost) o výměře 60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1255/72 (trvalý travní porost) o výměře 40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1255/73 (orná půda) o výměře 52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1255/78 (orná půda) o výměře 148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1255/83 (orná půda) o výměře 322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1255/93 (trvalý travní porost) o výměře 37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1255/97 (trvalý travní porost) o výměře 29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1255/99 (trvalý travní porost) o výměře 35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1255/101 (trvalý travní porost) o výměře 64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1255/103 (trvalý travní porost) o výměře 227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1255/107 (trvalý travní porost) o výměře 130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1255/111 (trvalý travní porost) o výměře 67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1255/113 (trvalý travní porost) o výměře 68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1255/115 (trvalý travní porost) o výměře 68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1255/122 (trvalý travní porost) o výměře 35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1255/123 (trvalý travní porost) o výměře 178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1255/126 (trvalý travní porost) o výměře 144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1255/129 (trvalý travní porost) o výměře 68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1255/132 (trvalý travní porost) o výměře 68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1255/138 (trvalý travní porost) o výměře 137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1255/142 (trvalý travní porost) o výměře 316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1255/146 (orná půda) o výměře 105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1255/147 (orná půda) o výměře 209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1255/148 (orná půda) o výměře 92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1255/153 (orná půda) o výměře 654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1255/154 (trvalý travní porost) o výměře 4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1255/157 (trvalý travní porost) o výměře 901 m</w:t>
      </w:r>
      <w:r w:rsidRPr="00753A33">
        <w:rPr>
          <w:vertAlign w:val="superscript"/>
        </w:rPr>
        <w:t>2</w:t>
      </w:r>
      <w:r w:rsidRPr="00753A33">
        <w:t>, o celkové výměře 8661 m</w:t>
      </w:r>
      <w:r w:rsidRPr="00753A33">
        <w:rPr>
          <w:vertAlign w:val="superscript"/>
        </w:rPr>
        <w:t>2</w:t>
      </w:r>
      <w:r w:rsidRPr="00753A33">
        <w:t>,</w:t>
      </w:r>
    </w:p>
    <w:p w:rsidR="007E7811" w:rsidRPr="00753A33" w:rsidRDefault="007E7811" w:rsidP="007E7811">
      <w:pPr>
        <w:jc w:val="both"/>
      </w:pPr>
      <w:r w:rsidRPr="00753A33">
        <w:t>vše v k.ú. Újezd za smluvní kupní cenu 346 440,- Kč, tj. 40,- Kč/m</w:t>
      </w:r>
      <w:r w:rsidRPr="00753A33">
        <w:rPr>
          <w:vertAlign w:val="superscript"/>
        </w:rPr>
        <w:t>2</w:t>
      </w:r>
      <w:r w:rsidRPr="00753A33">
        <w:t>, která bude uhrazena z rozpočtu Odboru nabývání majetku MMP do 10 dnů od podpisu kupní smlouvy s tím, že město Plzeň uhradí daň z převodu nemovitostí.</w:t>
      </w:r>
    </w:p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3.</w:t>
      </w:r>
    </w:p>
    <w:p w:rsidR="007E7811" w:rsidRPr="00753A33" w:rsidRDefault="007E7811" w:rsidP="007E7811">
      <w:pPr>
        <w:jc w:val="both"/>
      </w:pPr>
      <w:r w:rsidRPr="00753A33">
        <w:t>Souhlasit s uzavřením kupní smlouvy s Ing. Vladimírem Nechutným, Soukenická 5, Plzeň, insolvenčním správcem PaedDr. Michala Bartoše, r.č. 530606/072, bytem Plzeň, Masarykova 102, jako prodávajícím a městem Plzní jako kupujícím na odkoupení pozemků v k.ú. Červený Hrádek u Plzně, všechny v kultuře trvalý travní porost, a to:</w:t>
      </w:r>
    </w:p>
    <w:p w:rsidR="007E7811" w:rsidRPr="00753A33" w:rsidRDefault="007E7811" w:rsidP="007E7811">
      <w:pPr>
        <w:jc w:val="both"/>
      </w:pPr>
    </w:p>
    <w:tbl>
      <w:tblPr>
        <w:tblStyle w:val="Mkatabulky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992"/>
        <w:gridCol w:w="1134"/>
        <w:gridCol w:w="1276"/>
        <w:gridCol w:w="1275"/>
        <w:gridCol w:w="1276"/>
        <w:gridCol w:w="1559"/>
      </w:tblGrid>
      <w:tr w:rsidR="007E7811" w:rsidRPr="00753A33" w:rsidTr="00081250">
        <w:tc>
          <w:tcPr>
            <w:tcW w:w="880" w:type="dxa"/>
            <w:tcBorders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parc.č.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rPr>
                <w:sz w:val="20"/>
              </w:rPr>
            </w:pPr>
            <w:r w:rsidRPr="00753A33">
              <w:rPr>
                <w:sz w:val="20"/>
              </w:rPr>
              <w:t>výměra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rPr>
                <w:sz w:val="20"/>
              </w:rPr>
            </w:pPr>
            <w:r w:rsidRPr="00753A33">
              <w:rPr>
                <w:sz w:val="20"/>
              </w:rPr>
              <w:t>m</w:t>
            </w:r>
            <w:r w:rsidRPr="00753A33">
              <w:rPr>
                <w:sz w:val="20"/>
                <w:vertAlign w:val="superscript"/>
              </w:rPr>
              <w:t>2</w:t>
            </w:r>
            <w:r w:rsidRPr="00753A33">
              <w:rPr>
                <w:sz w:val="20"/>
              </w:rPr>
              <w:t xml:space="preserve"> pro IA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rPr>
                <w:sz w:val="20"/>
              </w:rPr>
            </w:pPr>
            <w:r w:rsidRPr="00753A33">
              <w:rPr>
                <w:sz w:val="20"/>
              </w:rPr>
              <w:t>800,-/m</w:t>
            </w:r>
            <w:r w:rsidRPr="00753A33">
              <w:rPr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rPr>
                <w:sz w:val="20"/>
              </w:rPr>
            </w:pPr>
            <w:r w:rsidRPr="00753A33">
              <w:rPr>
                <w:sz w:val="20"/>
              </w:rPr>
              <w:t>zbytek m</w:t>
            </w:r>
            <w:r w:rsidRPr="00753A33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rPr>
                <w:sz w:val="20"/>
              </w:rPr>
            </w:pPr>
            <w:r w:rsidRPr="00753A33">
              <w:rPr>
                <w:sz w:val="20"/>
              </w:rPr>
              <w:t>40,-/m</w:t>
            </w:r>
            <w:r w:rsidRPr="00753A33"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rPr>
                <w:sz w:val="20"/>
              </w:rPr>
            </w:pPr>
            <w:r w:rsidRPr="00753A33">
              <w:rPr>
                <w:sz w:val="20"/>
              </w:rPr>
              <w:t>Celkem Kč</w:t>
            </w:r>
          </w:p>
        </w:tc>
      </w:tr>
      <w:tr w:rsidR="007E7811" w:rsidRPr="00753A33" w:rsidTr="00081250">
        <w:tc>
          <w:tcPr>
            <w:tcW w:w="880" w:type="dxa"/>
            <w:tcBorders>
              <w:top w:val="single" w:sz="12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269/2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1175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1175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47 000,-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47 000,-</w:t>
            </w:r>
          </w:p>
        </w:tc>
      </w:tr>
      <w:tr w:rsidR="007E7811" w:rsidRPr="00753A33" w:rsidTr="00081250">
        <w:trPr>
          <w:trHeight w:val="135"/>
        </w:trPr>
        <w:tc>
          <w:tcPr>
            <w:tcW w:w="880" w:type="dxa"/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266/2</w:t>
            </w:r>
          </w:p>
        </w:tc>
        <w:tc>
          <w:tcPr>
            <w:tcW w:w="992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73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73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58 400,-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58 400,-</w:t>
            </w:r>
          </w:p>
        </w:tc>
      </w:tr>
      <w:tr w:rsidR="007E7811" w:rsidRPr="00753A33" w:rsidTr="00081250">
        <w:tc>
          <w:tcPr>
            <w:tcW w:w="880" w:type="dxa"/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266/7</w:t>
            </w:r>
          </w:p>
        </w:tc>
        <w:tc>
          <w:tcPr>
            <w:tcW w:w="992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147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65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52 000,-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82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3 280,-</w:t>
            </w:r>
          </w:p>
        </w:tc>
        <w:tc>
          <w:tcPr>
            <w:tcW w:w="1559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55 280</w:t>
            </w:r>
          </w:p>
        </w:tc>
      </w:tr>
      <w:tr w:rsidR="007E7811" w:rsidRPr="00753A33" w:rsidTr="00081250">
        <w:tc>
          <w:tcPr>
            <w:tcW w:w="880" w:type="dxa"/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266/15</w:t>
            </w:r>
          </w:p>
        </w:tc>
        <w:tc>
          <w:tcPr>
            <w:tcW w:w="992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560,-</w:t>
            </w:r>
          </w:p>
        </w:tc>
        <w:tc>
          <w:tcPr>
            <w:tcW w:w="1559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560,-</w:t>
            </w:r>
          </w:p>
        </w:tc>
      </w:tr>
      <w:tr w:rsidR="007E7811" w:rsidRPr="00753A33" w:rsidTr="00081250">
        <w:tc>
          <w:tcPr>
            <w:tcW w:w="880" w:type="dxa"/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266/16</w:t>
            </w:r>
          </w:p>
        </w:tc>
        <w:tc>
          <w:tcPr>
            <w:tcW w:w="992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177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 xml:space="preserve">27 200,- 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143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5 720,-</w:t>
            </w:r>
          </w:p>
        </w:tc>
        <w:tc>
          <w:tcPr>
            <w:tcW w:w="1559" w:type="dxa"/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32 920,-</w:t>
            </w:r>
          </w:p>
        </w:tc>
      </w:tr>
      <w:tr w:rsidR="007E7811" w:rsidRPr="00753A33" w:rsidTr="00081250">
        <w:tc>
          <w:tcPr>
            <w:tcW w:w="880" w:type="dxa"/>
            <w:tcBorders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266/17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238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238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190 400,-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190 400,-</w:t>
            </w:r>
          </w:p>
        </w:tc>
      </w:tr>
      <w:tr w:rsidR="007E7811" w:rsidRPr="00753A33" w:rsidTr="00081250">
        <w:tc>
          <w:tcPr>
            <w:tcW w:w="880" w:type="dxa"/>
            <w:tcBorders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269/4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3 600,-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3 600,-</w:t>
            </w:r>
          </w:p>
        </w:tc>
      </w:tr>
      <w:tr w:rsidR="007E7811" w:rsidRPr="00753A33" w:rsidTr="00081250"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lastRenderedPageBreak/>
              <w:t>269/5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1 440,-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1 440,-</w:t>
            </w:r>
          </w:p>
        </w:tc>
      </w:tr>
      <w:tr w:rsidR="007E7811" w:rsidRPr="00753A33" w:rsidTr="00081250"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269/6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25 400,-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25 400,-</w:t>
            </w:r>
          </w:p>
        </w:tc>
      </w:tr>
      <w:tr w:rsidR="007E7811" w:rsidRPr="00753A33" w:rsidTr="00081250">
        <w:tc>
          <w:tcPr>
            <w:tcW w:w="880" w:type="dxa"/>
            <w:tcBorders>
              <w:top w:val="single" w:sz="12" w:space="0" w:color="auto"/>
            </w:tcBorders>
          </w:tcPr>
          <w:p w:rsidR="007E7811" w:rsidRPr="00753A33" w:rsidRDefault="007E7811" w:rsidP="00081250">
            <w:pPr>
              <w:ind w:left="277" w:right="-108" w:hanging="277"/>
              <w:rPr>
                <w:sz w:val="20"/>
              </w:rPr>
            </w:pPr>
            <w:r w:rsidRPr="00753A33">
              <w:rPr>
                <w:sz w:val="20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2585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328 000,-</w:t>
            </w:r>
          </w:p>
        </w:tc>
        <w:tc>
          <w:tcPr>
            <w:tcW w:w="1275" w:type="dxa"/>
            <w:tcBorders>
              <w:top w:val="single" w:sz="12" w:space="0" w:color="auto"/>
              <w:righ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2175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sz w:val="20"/>
              </w:rPr>
            </w:pPr>
            <w:r w:rsidRPr="00753A33">
              <w:rPr>
                <w:sz w:val="20"/>
              </w:rPr>
              <w:t>87 000,-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E7811" w:rsidRPr="00753A33" w:rsidRDefault="007E7811" w:rsidP="00081250">
            <w:pPr>
              <w:ind w:left="277" w:hanging="277"/>
              <w:jc w:val="right"/>
              <w:rPr>
                <w:b/>
                <w:sz w:val="20"/>
              </w:rPr>
            </w:pPr>
            <w:r w:rsidRPr="00753A33">
              <w:rPr>
                <w:b/>
                <w:sz w:val="20"/>
              </w:rPr>
              <w:t>415 000,-</w:t>
            </w:r>
          </w:p>
        </w:tc>
      </w:tr>
    </w:tbl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tedy za celkovou smluvní kupní cenu 415 000,- Kč, která bude uhrazena z rozpočtu Odboru nabývání majetku MMP do 10 dnů od podpisu kupní smlouvy s tím, že město Plzeň uhradí daň z převodu nemovitostí.</w:t>
      </w:r>
    </w:p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4.</w:t>
      </w:r>
    </w:p>
    <w:p w:rsidR="007E7811" w:rsidRPr="00753A33" w:rsidRDefault="007E7811" w:rsidP="007E7811">
      <w:pPr>
        <w:jc w:val="both"/>
      </w:pPr>
      <w:r w:rsidRPr="00753A33">
        <w:t>Schválit svěření získaného majetku do správy SVSMP a OSI MMP.</w:t>
      </w:r>
    </w:p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5.</w:t>
      </w:r>
    </w:p>
    <w:p w:rsidR="007E7811" w:rsidRPr="00753A33" w:rsidRDefault="007E7811" w:rsidP="007E7811">
      <w:pPr>
        <w:jc w:val="both"/>
      </w:pPr>
      <w:r w:rsidRPr="00753A33">
        <w:t>Souhlasit se započetím jednání s dalšími fyzickými a právnickými osobami v lokalitě za účelem dalších potřebných výkupů a zřízení potřebných věcných břemen.</w:t>
      </w:r>
    </w:p>
    <w:p w:rsidR="007E7811" w:rsidRPr="00753A33" w:rsidRDefault="007E7811" w:rsidP="007E7811">
      <w:pPr>
        <w:jc w:val="both"/>
      </w:pPr>
    </w:p>
    <w:p w:rsidR="007E7811" w:rsidRPr="00753A33" w:rsidRDefault="007E7811" w:rsidP="007E7811">
      <w:pPr>
        <w:jc w:val="both"/>
      </w:pPr>
      <w:r w:rsidRPr="00753A33">
        <w:t>Smlouvy se uzavírají v rámci vypořádání lokality „Obytný soubor Stráň, Plzeň“ – k.ú. Červený Hrádek a k.ú. Újezd a „Chodníky a vjezdy ul. V Mokřinách“ k.ú. Újezd.</w:t>
      </w:r>
    </w:p>
    <w:p w:rsidR="007E7811" w:rsidRDefault="007E7811" w:rsidP="007E7811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souhlasí 7</w:t>
      </w:r>
    </w:p>
    <w:p w:rsidR="007E7811" w:rsidRDefault="007E7811" w:rsidP="007E7811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zdržel se 3</w:t>
      </w:r>
    </w:p>
    <w:p w:rsidR="007E7811" w:rsidRPr="004B4819" w:rsidRDefault="007E7811" w:rsidP="007E7811">
      <w:pPr>
        <w:pStyle w:val="vlevo"/>
        <w:rPr>
          <w:szCs w:val="24"/>
        </w:rPr>
      </w:pPr>
      <w:r w:rsidRPr="004B4819">
        <w:rPr>
          <w:szCs w:val="24"/>
        </w:rPr>
        <w:t>KNM nedosáhla potřebné většiny hlasů pro schválení návrhu.</w:t>
      </w:r>
      <w:r>
        <w:rPr>
          <w:szCs w:val="24"/>
        </w:rPr>
        <w:t xml:space="preserve"> </w:t>
      </w:r>
    </w:p>
    <w:p w:rsidR="00FC495A" w:rsidRDefault="00FC495A"/>
    <w:sectPr w:rsidR="00FC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C75"/>
    <w:multiLevelType w:val="hybridMultilevel"/>
    <w:tmpl w:val="C876D49C"/>
    <w:lvl w:ilvl="0" w:tplc="DF3A5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1"/>
    <w:rsid w:val="003633DB"/>
    <w:rsid w:val="007E7811"/>
    <w:rsid w:val="00F31B8D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7E7811"/>
    <w:pPr>
      <w:jc w:val="both"/>
    </w:pPr>
  </w:style>
  <w:style w:type="character" w:customStyle="1" w:styleId="vlevoChar">
    <w:name w:val="vlevo Char"/>
    <w:link w:val="vlevo"/>
    <w:rsid w:val="007E78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E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8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7E7811"/>
    <w:pPr>
      <w:jc w:val="both"/>
    </w:pPr>
  </w:style>
  <w:style w:type="character" w:customStyle="1" w:styleId="vlevoChar">
    <w:name w:val="vlevo Char"/>
    <w:link w:val="vlevo"/>
    <w:rsid w:val="007E78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E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8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1563</Words>
  <Characters>9223</Characters>
  <Application>Microsoft Office Word</Application>
  <DocSecurity>0</DocSecurity>
  <Lines>76</Lines>
  <Paragraphs>21</Paragraphs>
  <ScaleCrop>false</ScaleCrop>
  <Company>.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3</cp:revision>
  <cp:lastPrinted>2013-11-08T08:23:00Z</cp:lastPrinted>
  <dcterms:created xsi:type="dcterms:W3CDTF">2013-11-08T08:22:00Z</dcterms:created>
  <dcterms:modified xsi:type="dcterms:W3CDTF">2013-12-02T09:16:00Z</dcterms:modified>
</cp:coreProperties>
</file>