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7E" w:rsidRDefault="00A4442D">
      <w:r>
        <w:t>Historie</w:t>
      </w:r>
    </w:p>
    <w:p w:rsidR="00A4442D" w:rsidRDefault="00A4442D"/>
    <w:p w:rsidR="00A4442D" w:rsidRDefault="00A4442D" w:rsidP="00A4442D">
      <w:pPr>
        <w:pStyle w:val="vlevo"/>
      </w:pPr>
      <w:r>
        <w:t xml:space="preserve">Smlouvy uzavřené v souladu s usnesením RMP č. 1413 ze dne 8. 10. 2009, usnesením ZMP č. 793 ze dne 10. 12. 2009 a potvrzením MO Plzeň 1 ze dne 27. 1. 2010 ve výběru investora pro zástavbu částí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 11102/127 a </w:t>
      </w:r>
      <w:proofErr w:type="spellStart"/>
      <w:r>
        <w:t>p.č</w:t>
      </w:r>
      <w:proofErr w:type="spellEnd"/>
      <w:r>
        <w:t>. 14430/99 v </w:t>
      </w:r>
      <w:proofErr w:type="spellStart"/>
      <w:r>
        <w:t>k.ú</w:t>
      </w:r>
      <w:proofErr w:type="spellEnd"/>
      <w:r>
        <w:t>. Plzeň, v lokalitě obytná zóna Sylván:</w:t>
      </w:r>
    </w:p>
    <w:p w:rsidR="00B8247B" w:rsidRDefault="00A4442D" w:rsidP="00A4442D">
      <w:pPr>
        <w:pStyle w:val="vlevo"/>
        <w:numPr>
          <w:ilvl w:val="0"/>
          <w:numId w:val="1"/>
        </w:numPr>
      </w:pPr>
      <w:r>
        <w:t xml:space="preserve">Nájemní smlouva č. 2009/000580/NS ze dne 28. 1. 2010 byla s výše uvedenou společností, jako nájemcem, uzavřena za účelem výstavby a provozování bytového domu „B“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11102/127 a </w:t>
      </w:r>
      <w:proofErr w:type="spellStart"/>
      <w:r>
        <w:t>p.č</w:t>
      </w:r>
      <w:proofErr w:type="spellEnd"/>
      <w:r>
        <w:t>. 14430/99 v </w:t>
      </w:r>
      <w:proofErr w:type="spellStart"/>
      <w:r>
        <w:t>k.ú</w:t>
      </w:r>
      <w:proofErr w:type="spellEnd"/>
      <w:r>
        <w:t>. Plzeň, za nájemné ve výši 15,­ Kč/m</w:t>
      </w:r>
      <w:r>
        <w:rPr>
          <w:vertAlign w:val="superscript"/>
        </w:rPr>
        <w:t>2</w:t>
      </w:r>
      <w:r>
        <w:t>/rok (tj. při pronajaté výměře 5117 m</w:t>
      </w:r>
      <w:r>
        <w:rPr>
          <w:vertAlign w:val="superscript"/>
        </w:rPr>
        <w:t>2</w:t>
      </w:r>
      <w:r>
        <w:t xml:space="preserve"> celkem 76 755,- Kč) do doby dokončení stavby, nejdéle do 31. 1. 2013, a dále 123,- Kč/m</w:t>
      </w:r>
      <w:r>
        <w:rPr>
          <w:vertAlign w:val="superscript"/>
        </w:rPr>
        <w:t>2</w:t>
      </w:r>
      <w:r>
        <w:t xml:space="preserve">/rok (celkem 629 391,- Kč) ode dne dokončení stavby, nejdéle od 1. 1. 2014; nájemné se každoročně navyšuje o roční míru inflace </w:t>
      </w:r>
    </w:p>
    <w:p w:rsidR="00A4442D" w:rsidRDefault="00A4442D" w:rsidP="00B8247B">
      <w:pPr>
        <w:pStyle w:val="vlevo"/>
        <w:ind w:left="360"/>
      </w:pPr>
      <w:r>
        <w:t>(</w:t>
      </w:r>
      <w:r w:rsidRPr="00B8247B">
        <w:rPr>
          <w:i/>
        </w:rPr>
        <w:t xml:space="preserve">pozn.: výměra pozemku </w:t>
      </w:r>
      <w:proofErr w:type="spellStart"/>
      <w:proofErr w:type="gramStart"/>
      <w:r w:rsidRPr="00B8247B">
        <w:rPr>
          <w:i/>
        </w:rPr>
        <w:t>p.č</w:t>
      </w:r>
      <w:proofErr w:type="spellEnd"/>
      <w:r w:rsidRPr="00B8247B">
        <w:rPr>
          <w:i/>
        </w:rPr>
        <w:t>.</w:t>
      </w:r>
      <w:proofErr w:type="gramEnd"/>
      <w:r w:rsidRPr="00B8247B">
        <w:rPr>
          <w:i/>
        </w:rPr>
        <w:t xml:space="preserve"> 11102/127 v </w:t>
      </w:r>
      <w:proofErr w:type="spellStart"/>
      <w:r w:rsidRPr="00B8247B">
        <w:rPr>
          <w:i/>
        </w:rPr>
        <w:t>k.ú</w:t>
      </w:r>
      <w:proofErr w:type="spellEnd"/>
      <w:r w:rsidRPr="00B8247B">
        <w:rPr>
          <w:i/>
        </w:rPr>
        <w:t>. Plzeň se změnila</w:t>
      </w:r>
      <w:r w:rsidR="00B8247B">
        <w:rPr>
          <w:i/>
        </w:rPr>
        <w:t>, tj. z původních 4810 m</w:t>
      </w:r>
      <w:r w:rsidR="00B8247B">
        <w:rPr>
          <w:i/>
          <w:vertAlign w:val="superscript"/>
        </w:rPr>
        <w:t>2</w:t>
      </w:r>
      <w:r w:rsidR="00B8247B">
        <w:rPr>
          <w:i/>
        </w:rPr>
        <w:t xml:space="preserve"> se snížila na 4253 m</w:t>
      </w:r>
      <w:r w:rsidR="00B8247B">
        <w:rPr>
          <w:i/>
          <w:vertAlign w:val="superscript"/>
        </w:rPr>
        <w:t>2</w:t>
      </w:r>
      <w:r w:rsidRPr="00B8247B">
        <w:rPr>
          <w:i/>
        </w:rPr>
        <w:t>, a proto bude tato skutečnost zohledněna v dodatku smlouvy nájemní i</w:t>
      </w:r>
      <w:r w:rsidR="00B8247B">
        <w:rPr>
          <w:i/>
        </w:rPr>
        <w:t> </w:t>
      </w:r>
      <w:r w:rsidRPr="00B8247B">
        <w:rPr>
          <w:i/>
        </w:rPr>
        <w:t>smlouvy o budoucí smlouvě kupní</w:t>
      </w:r>
      <w:r>
        <w:t>).</w:t>
      </w:r>
    </w:p>
    <w:p w:rsidR="00A4442D" w:rsidRDefault="00A4442D" w:rsidP="00A4442D">
      <w:pPr>
        <w:pStyle w:val="vlevo"/>
        <w:numPr>
          <w:ilvl w:val="0"/>
          <w:numId w:val="1"/>
        </w:numPr>
      </w:pPr>
      <w:r>
        <w:t>Smlouva o budoucí smlouvě kupní č. 2009/000472 ze dne 29. 1. 2010</w:t>
      </w:r>
      <w:r w:rsidRPr="00193EC9">
        <w:t xml:space="preserve"> </w:t>
      </w:r>
      <w:r>
        <w:t>byla s výše uvedenou společností, jako budoucím kupujícím, uzavřena na budoucí prodej částí výše uvedených pozemků dotčených stavbou bytového domu (jehož výstavba by měla být realizovaná v souladu s platným územním rozhodnutím č. 2584 ze dne 28. 7. 2000, s využitím parteru objektu pro obchod a služby pro potřeby místních obyvatel), včetně nově vzniklého vnitrobloku a zeleně bezprostředně přiléhající k bytovému domu, tj. cca 3870 m</w:t>
      </w:r>
      <w:r>
        <w:rPr>
          <w:vertAlign w:val="superscript"/>
        </w:rPr>
        <w:t>2</w:t>
      </w:r>
      <w:r>
        <w:t xml:space="preserve"> z celkových 4810 m</w:t>
      </w:r>
      <w:r>
        <w:rPr>
          <w:vertAlign w:val="superscript"/>
        </w:rPr>
        <w:t>2</w:t>
      </w:r>
      <w:r>
        <w:t xml:space="preserve"> </w:t>
      </w:r>
      <w:r w:rsidR="00EC777C">
        <w:t>(nově 4253 m</w:t>
      </w:r>
      <w:r w:rsidR="00EC777C">
        <w:rPr>
          <w:vertAlign w:val="superscript"/>
        </w:rPr>
        <w:t>2</w:t>
      </w:r>
      <w:r w:rsidR="00EC777C">
        <w:t xml:space="preserve">) </w:t>
      </w:r>
      <w:r>
        <w:t xml:space="preserve">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11102/127 a cca 100 m</w:t>
      </w:r>
      <w:r>
        <w:rPr>
          <w:vertAlign w:val="superscript"/>
        </w:rPr>
        <w:t>2</w:t>
      </w:r>
      <w:r>
        <w:t xml:space="preserve"> z celkových 307 m</w:t>
      </w:r>
      <w:r>
        <w:rPr>
          <w:vertAlign w:val="superscript"/>
        </w:rPr>
        <w:t xml:space="preserve">2 </w:t>
      </w:r>
      <w:r>
        <w:t xml:space="preserve">pozemku </w:t>
      </w:r>
      <w:proofErr w:type="spellStart"/>
      <w:r>
        <w:t>p.č</w:t>
      </w:r>
      <w:proofErr w:type="spellEnd"/>
      <w:r>
        <w:t>. 14430/99 v </w:t>
      </w:r>
      <w:proofErr w:type="spellStart"/>
      <w:r>
        <w:t>k.ú</w:t>
      </w:r>
      <w:proofErr w:type="spellEnd"/>
      <w:r>
        <w:t>. Plzeň. Kupní cena je stanovena dohodou na částku ve výši 2 200,- Kč/m</w:t>
      </w:r>
      <w:r>
        <w:rPr>
          <w:vertAlign w:val="superscript"/>
        </w:rPr>
        <w:t>2</w:t>
      </w:r>
      <w:r>
        <w:t>, tj. celkem (při výměře 3970 m</w:t>
      </w:r>
      <w:r>
        <w:rPr>
          <w:vertAlign w:val="superscript"/>
        </w:rPr>
        <w:t>2</w:t>
      </w:r>
      <w:r>
        <w:t>) cca 8 734 000,</w:t>
      </w:r>
      <w:r w:rsidR="00EC777C">
        <w:t>­ </w:t>
      </w:r>
      <w:r>
        <w:t>Kč.</w:t>
      </w:r>
      <w:bookmarkStart w:id="0" w:name="_GoBack"/>
      <w:bookmarkEnd w:id="0"/>
    </w:p>
    <w:p w:rsidR="00A4442D" w:rsidRDefault="00A4442D" w:rsidP="00A4442D">
      <w:pPr>
        <w:pStyle w:val="vlevo"/>
      </w:pPr>
      <w:r>
        <w:t>V případě, že nájemce a budoucí kupující nedokončí stavbu bytového domu a nezahájí její užívání nejdéle do 31. 12. 2013, je město Plzeň oprávněno od uzavřených smluv odstoupit, přičemž společnost je povinna uhradit městu sjednanou smluvní pokutu, a to 500 000,- Kč (dle smlouvy o budoucí smlouvě kupní) a trojnásobek měsíčního nájemného za každý i započatý měsíc prodlení (dle smlouvy nájemní).</w:t>
      </w:r>
    </w:p>
    <w:p w:rsidR="00A4442D" w:rsidRPr="00904C79" w:rsidRDefault="00A4442D" w:rsidP="00A4442D">
      <w:pPr>
        <w:pStyle w:val="vlevo"/>
        <w:rPr>
          <w:sz w:val="16"/>
          <w:szCs w:val="16"/>
        </w:rPr>
      </w:pPr>
    </w:p>
    <w:p w:rsidR="00A4442D" w:rsidRDefault="00A4442D" w:rsidP="00A4442D">
      <w:pPr>
        <w:pStyle w:val="vlevo"/>
      </w:pPr>
      <w:r>
        <w:t xml:space="preserve">Smlouva o budoucí smlouvě kupní a nájemní smlouva byly uzavřeny v době, kdy byla standardně do těchto smluv vkládána ustanovení vztahující se k prokazování zahájení a dokončení zástavby ke komerčním účelům, a to předložením platného povolení příslušné stavby a kolaudačního souhlasu tak, aby nedocházelo ke zbytečným průtahům zástavby daného území. </w:t>
      </w:r>
    </w:p>
    <w:p w:rsidR="00A4442D" w:rsidRDefault="00A4442D" w:rsidP="00A4442D">
      <w:pPr>
        <w:pStyle w:val="vlevo"/>
      </w:pPr>
      <w:r>
        <w:t xml:space="preserve">V současnosti došlo v obdobných případech ke změně v nově uzavíraných smlouvách nájemních i smlouvách o budoucích smlouvách kupních s tím, že základní rozdíl spočívá v tom, že není termínováno doložení platného povolení stavby a kolaudačního rozhodnutí (souhlasu) městu Plzeň, ale pouze doložení řádné žádosti o jejich vydání. K této úpravě bylo přistoupeno s ohledem na skutečnost, že nájemci a budoucí kupující nemohou ovlivnit rychlost rozhodování příslušných stavebních úřadů a tedy i termín vydání příslušného rozhodnutí. V případě soudních sporů by byla vymahatelnost sankcí spojených s nesplněním povinností ze strany budoucích kupujících a nájemců obtížná. </w:t>
      </w:r>
    </w:p>
    <w:p w:rsidR="00A4442D" w:rsidRDefault="00A4442D" w:rsidP="00A4442D">
      <w:pPr>
        <w:pStyle w:val="vlevo"/>
      </w:pPr>
      <w:r>
        <w:t xml:space="preserve">S ohledem na výše uvedené je proto v jedné z variant navrhována úprava podmínek nájemní smlouvy a  smlouvy o budoucí smlouvě kupní podle nové metodiky (prodloužení termínu pro dokončení stavby, platnosti nájemní smlouvy a uzavření kupní smlouvy, vypuštění smluvní pokuty v nájemní smlouvě, složení kauce). </w:t>
      </w:r>
    </w:p>
    <w:p w:rsidR="00A4442D" w:rsidRPr="00904C79" w:rsidRDefault="00A4442D" w:rsidP="00A4442D">
      <w:pPr>
        <w:pStyle w:val="vlevo"/>
        <w:rPr>
          <w:sz w:val="16"/>
          <w:szCs w:val="16"/>
        </w:rPr>
      </w:pPr>
    </w:p>
    <w:p w:rsidR="00A4442D" w:rsidRDefault="00A4442D" w:rsidP="00B8247B">
      <w:pPr>
        <w:jc w:val="both"/>
      </w:pPr>
      <w:r>
        <w:lastRenderedPageBreak/>
        <w:t>Pro informaci uvádíme, že výběrem investora na zástavbu výše uvedených pozemků byl pověřen MO Plzeň 1. RMO Plzeň 1 usnesením č. 280 ze dne 1. 9. 2009 schválila jako investora na zástavbu předmětných pozemků výše uvedenou společnost, za kupní cenu v místě a čase obvyklou (dle znaleckého posudku č. 759/2009 ze dne 22. 4. 2009) ve výši 2 700,- Kč/m</w:t>
      </w:r>
      <w:r>
        <w:rPr>
          <w:vertAlign w:val="superscript"/>
        </w:rPr>
        <w:t>2</w:t>
      </w:r>
      <w:r>
        <w:t>. Bytový dům „B“ by měl být obdobnou stavbou jako bytový dům „A“, jehož výstavbu na sousedním pozemku realizovala obchodní společnost O – APARTMENTS SYLVÁN a.s.</w:t>
      </w:r>
    </w:p>
    <w:sectPr w:rsidR="00A4442D" w:rsidSect="00CA360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AF" w:rsidRDefault="003C4CAF" w:rsidP="00A4442D">
      <w:r>
        <w:separator/>
      </w:r>
    </w:p>
  </w:endnote>
  <w:endnote w:type="continuationSeparator" w:id="0">
    <w:p w:rsidR="003C4CAF" w:rsidRDefault="003C4CAF" w:rsidP="00A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AF" w:rsidRDefault="003C4CAF" w:rsidP="00A4442D">
      <w:r>
        <w:separator/>
      </w:r>
    </w:p>
  </w:footnote>
  <w:footnote w:type="continuationSeparator" w:id="0">
    <w:p w:rsidR="003C4CAF" w:rsidRDefault="003C4CAF" w:rsidP="00A4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2D" w:rsidRDefault="00A4442D">
    <w:pPr>
      <w:pStyle w:val="Zhlav"/>
    </w:pPr>
    <w:r>
      <w:tab/>
    </w:r>
    <w:r>
      <w:tab/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45C2"/>
    <w:multiLevelType w:val="hybridMultilevel"/>
    <w:tmpl w:val="EA6E40B4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D"/>
    <w:rsid w:val="001712BB"/>
    <w:rsid w:val="00256828"/>
    <w:rsid w:val="003C4CAF"/>
    <w:rsid w:val="00463D3C"/>
    <w:rsid w:val="00A4442D"/>
    <w:rsid w:val="00AA1055"/>
    <w:rsid w:val="00B8247B"/>
    <w:rsid w:val="00CA360E"/>
    <w:rsid w:val="00EC777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44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42D"/>
    <w:rPr>
      <w:sz w:val="24"/>
      <w:szCs w:val="24"/>
    </w:rPr>
  </w:style>
  <w:style w:type="paragraph" w:styleId="Zpat">
    <w:name w:val="footer"/>
    <w:basedOn w:val="Normln"/>
    <w:link w:val="ZpatChar"/>
    <w:rsid w:val="00A444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442D"/>
    <w:rPr>
      <w:sz w:val="24"/>
      <w:szCs w:val="24"/>
    </w:rPr>
  </w:style>
  <w:style w:type="paragraph" w:customStyle="1" w:styleId="vlevo">
    <w:name w:val="vlevo"/>
    <w:basedOn w:val="Normln"/>
    <w:link w:val="vlevoChar"/>
    <w:rsid w:val="00A4442D"/>
    <w:pPr>
      <w:jc w:val="both"/>
    </w:pPr>
    <w:rPr>
      <w:szCs w:val="20"/>
    </w:rPr>
  </w:style>
  <w:style w:type="character" w:customStyle="1" w:styleId="vlevoChar">
    <w:name w:val="vlevo Char"/>
    <w:link w:val="vlevo"/>
    <w:locked/>
    <w:rsid w:val="00A444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44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42D"/>
    <w:rPr>
      <w:sz w:val="24"/>
      <w:szCs w:val="24"/>
    </w:rPr>
  </w:style>
  <w:style w:type="paragraph" w:styleId="Zpat">
    <w:name w:val="footer"/>
    <w:basedOn w:val="Normln"/>
    <w:link w:val="ZpatChar"/>
    <w:rsid w:val="00A444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442D"/>
    <w:rPr>
      <w:sz w:val="24"/>
      <w:szCs w:val="24"/>
    </w:rPr>
  </w:style>
  <w:style w:type="paragraph" w:customStyle="1" w:styleId="vlevo">
    <w:name w:val="vlevo"/>
    <w:basedOn w:val="Normln"/>
    <w:link w:val="vlevoChar"/>
    <w:rsid w:val="00A4442D"/>
    <w:pPr>
      <w:jc w:val="both"/>
    </w:pPr>
    <w:rPr>
      <w:szCs w:val="20"/>
    </w:rPr>
  </w:style>
  <w:style w:type="character" w:customStyle="1" w:styleId="vlevoChar">
    <w:name w:val="vlevo Char"/>
    <w:link w:val="vlevo"/>
    <w:locked/>
    <w:rsid w:val="00A444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Kölblová Eva</dc:creator>
  <cp:keywords/>
  <dc:description/>
  <cp:lastModifiedBy>Kölblová Eva</cp:lastModifiedBy>
  <cp:revision>3</cp:revision>
  <dcterms:created xsi:type="dcterms:W3CDTF">2013-09-19T06:49:00Z</dcterms:created>
  <dcterms:modified xsi:type="dcterms:W3CDTF">2013-09-19T06:55:00Z</dcterms:modified>
</cp:coreProperties>
</file>