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BF" w:rsidRDefault="00A111BF">
      <w:pPr>
        <w:pStyle w:val="nadpcent"/>
        <w:rPr>
          <w:lang w:val="de-DE"/>
        </w:rPr>
      </w:pPr>
      <w:r>
        <w:rPr>
          <w:lang w:val="de-DE"/>
        </w:rPr>
        <w:t>Důvodová zpráva</w:t>
      </w:r>
    </w:p>
    <w:p w:rsidR="00A111BF" w:rsidRDefault="00A111BF">
      <w:pPr>
        <w:pStyle w:val="ostzahl"/>
      </w:pPr>
      <w:r>
        <w:t>Název problému a jeho charakteristika</w:t>
      </w:r>
    </w:p>
    <w:p w:rsidR="00A111BF" w:rsidRDefault="00A111BF" w:rsidP="00101F9E">
      <w:pPr>
        <w:pStyle w:val="vlevo"/>
      </w:pPr>
      <w:r>
        <w:t>Rozpočet města Plzně na rok 201</w:t>
      </w:r>
      <w:r w:rsidR="000C7268">
        <w:t>4</w:t>
      </w:r>
      <w:r>
        <w:t xml:space="preserve"> včetně rozpočtového výhledu na roky 201</w:t>
      </w:r>
      <w:r w:rsidR="000C7268">
        <w:t>5</w:t>
      </w:r>
      <w:r>
        <w:t xml:space="preserve"> – 201</w:t>
      </w:r>
      <w:r w:rsidR="000C7268">
        <w:t>7</w:t>
      </w:r>
      <w:r>
        <w:t>.</w:t>
      </w:r>
    </w:p>
    <w:p w:rsidR="00A111BF" w:rsidRDefault="00A111BF">
      <w:pPr>
        <w:pStyle w:val="ostzahl"/>
      </w:pPr>
      <w:r>
        <w:t>Konstatování současného stavu a jeho analýza</w:t>
      </w:r>
    </w:p>
    <w:p w:rsidR="00742B6A" w:rsidRDefault="00C14B08" w:rsidP="00101F9E">
      <w:pPr>
        <w:pStyle w:val="vlevo"/>
      </w:pPr>
      <w:r>
        <w:t>Rozpočet města Plzně na rok 201</w:t>
      </w:r>
      <w:r w:rsidR="000C7268">
        <w:t>4</w:t>
      </w:r>
      <w:r>
        <w:t xml:space="preserve"> byl sestaven na základě potřeb a priorit jednotlivých správců rozpočtu v návaznosti na reálné možnosti krytí těchto potřeb. </w:t>
      </w:r>
      <w:r w:rsidR="00E97ACA">
        <w:t xml:space="preserve">Vzhledem </w:t>
      </w:r>
      <w:r w:rsidR="00602F51">
        <w:t>k</w:t>
      </w:r>
      <w:r w:rsidR="000C7268">
        <w:t xml:space="preserve"> pokračujícímu </w:t>
      </w:r>
      <w:r w:rsidR="00E97ACA">
        <w:t>nepříznivé</w:t>
      </w:r>
      <w:r w:rsidR="00602F51">
        <w:t>mu vývoji daňových příjmů města</w:t>
      </w:r>
      <w:r w:rsidR="00E97ACA">
        <w:t xml:space="preserve"> </w:t>
      </w:r>
      <w:r w:rsidR="000C7268">
        <w:t xml:space="preserve">a neschválení vyhlášky statutárního města Plzně se stanovením místního koeficientu ve výši 2 u daně z nemovitosti, bylo nutné při sestavování rozpočtu a rozpočtového výhledu navázat na restriktivní opatření, která byla realizována v minulých letech, zejména omezení provozních výdajů a odvody z investičních fondů příspěvkových organizací. </w:t>
      </w:r>
    </w:p>
    <w:p w:rsidR="00FC2AB7" w:rsidRDefault="00FC2AB7" w:rsidP="00101F9E">
      <w:pPr>
        <w:pStyle w:val="vlevo"/>
      </w:pPr>
    </w:p>
    <w:p w:rsidR="00E55371" w:rsidRDefault="004012DE" w:rsidP="00101F9E">
      <w:pPr>
        <w:pStyle w:val="vlevo"/>
      </w:pPr>
      <w:r w:rsidRPr="00025694">
        <w:t xml:space="preserve">Rozpočet města Plzně na rok 2014 je sestaven jako schodkový ve výši </w:t>
      </w:r>
      <w:r w:rsidR="00025694">
        <w:t xml:space="preserve">záporného salda </w:t>
      </w:r>
      <w:r w:rsidRPr="00025694">
        <w:t>cca</w:t>
      </w:r>
      <w:r w:rsidR="008D7966">
        <w:t xml:space="preserve"> </w:t>
      </w:r>
      <w:r w:rsidR="008D7966">
        <w:br/>
      </w:r>
      <w:r w:rsidRPr="00025694">
        <w:t xml:space="preserve">1 mld. Kč. Tento </w:t>
      </w:r>
      <w:r w:rsidR="00025694">
        <w:t>záporný rozdíl mezi příjmy v daném roce a výdaji</w:t>
      </w:r>
      <w:r w:rsidRPr="00025694">
        <w:t xml:space="preserve"> je v rámci rozpočtu 2014 kryt prostředky nakumulovanými v předchozích letech ve fondech města zejména ve Fondu pro kofinancování dotovaných projektů, ze kterých jsou hrazeny</w:t>
      </w:r>
      <w:r w:rsidR="00E55371" w:rsidRPr="00025694">
        <w:t xml:space="preserve"> </w:t>
      </w:r>
      <w:r w:rsidRPr="00025694">
        <w:t xml:space="preserve">projekty spolufinancované z dotačních titulů a Fondu rezerv a rozvoje MP, kde jsou kumulovány prostředky zejména na investice, jejichž financování přechází z roku </w:t>
      </w:r>
      <w:r w:rsidR="00E55371" w:rsidRPr="00025694">
        <w:t>2013.</w:t>
      </w:r>
    </w:p>
    <w:p w:rsidR="00E55371" w:rsidRDefault="00E55371" w:rsidP="00101F9E">
      <w:pPr>
        <w:pStyle w:val="vlevo"/>
      </w:pPr>
    </w:p>
    <w:p w:rsidR="00014639" w:rsidRDefault="00014639" w:rsidP="00101F9E">
      <w:pPr>
        <w:pStyle w:val="vlevo"/>
      </w:pPr>
      <w:r>
        <w:t xml:space="preserve">V rámci rozpočtu celoměstských orgánů (MMP) je </w:t>
      </w:r>
      <w:r w:rsidR="00A94BB6">
        <w:t>na příjmové stránce kalkulováno s</w:t>
      </w:r>
      <w:r>
        <w:t xml:space="preserve"> dotac</w:t>
      </w:r>
      <w:r w:rsidR="00A94BB6">
        <w:t>í</w:t>
      </w:r>
      <w:r>
        <w:t xml:space="preserve"> ze státního rozpočtu, tzv. souhrnný</w:t>
      </w:r>
      <w:r w:rsidR="00A94BB6">
        <w:t>m</w:t>
      </w:r>
      <w:r>
        <w:t xml:space="preserve"> dotační</w:t>
      </w:r>
      <w:r w:rsidR="00A94BB6">
        <w:t>m</w:t>
      </w:r>
      <w:r>
        <w:t xml:space="preserve"> vztah</w:t>
      </w:r>
      <w:r w:rsidR="00A94BB6">
        <w:t>em</w:t>
      </w:r>
      <w:r>
        <w:t xml:space="preserve"> (</w:t>
      </w:r>
      <w:r w:rsidR="00A94BB6">
        <w:t xml:space="preserve">tj. </w:t>
      </w:r>
      <w:r>
        <w:t>p</w:t>
      </w:r>
      <w:r w:rsidR="00A94BB6">
        <w:t>říspěvek na výkon státní správy a</w:t>
      </w:r>
      <w:r>
        <w:t xml:space="preserve"> dotace pro</w:t>
      </w:r>
      <w:r w:rsidR="004474E4">
        <w:t xml:space="preserve"> Dětské centrum Plzeň</w:t>
      </w:r>
      <w:r w:rsidR="0092689C">
        <w:t>)</w:t>
      </w:r>
      <w:r>
        <w:t xml:space="preserve">. </w:t>
      </w:r>
      <w:r w:rsidR="00FC2AB7">
        <w:t xml:space="preserve">Výše dotace je zapracována dle vládního návrhu zákona </w:t>
      </w:r>
      <w:r w:rsidR="00A94BB6">
        <w:t>o státním rozpočtu na rok 201</w:t>
      </w:r>
      <w:r w:rsidR="002E73E5">
        <w:t>4</w:t>
      </w:r>
      <w:r w:rsidR="00DB2929">
        <w:t xml:space="preserve"> </w:t>
      </w:r>
      <w:r w:rsidR="00FC2AB7">
        <w:t xml:space="preserve">a v návaznosti na schvalovací proces zákona může </w:t>
      </w:r>
      <w:r w:rsidR="00025694">
        <w:t xml:space="preserve">být </w:t>
      </w:r>
      <w:r w:rsidR="00FC2AB7">
        <w:t>ještě upřesněna.</w:t>
      </w:r>
    </w:p>
    <w:p w:rsidR="00FC2AB7" w:rsidRDefault="00FC2AB7" w:rsidP="00101F9E">
      <w:pPr>
        <w:pStyle w:val="vlevo"/>
      </w:pPr>
    </w:p>
    <w:p w:rsidR="0099509C" w:rsidRDefault="0099509C" w:rsidP="008D7966">
      <w:pPr>
        <w:jc w:val="both"/>
      </w:pPr>
      <w:r>
        <w:t xml:space="preserve">Na zálohové krytí prokazatelné ztráty PMDP je v rozpočtu pro rok 2014 zapracována částka 791 066 tis. Kč, která vychází z naposledy schváleného rozpočtového výhledu.  Rozdíl mezi rozpočtovanou částkou a požadavkem dle předběžného odborného odhadu (809 832 tis. Kč) ve výši cca 18,8 mil. Kč bude řešen v rámci uzavření dodatku ke smlouvě </w:t>
      </w:r>
      <w:r w:rsidR="00A75C22">
        <w:t>o závazku veřejné služby</w:t>
      </w:r>
      <w:r>
        <w:t xml:space="preserve">, např. úpravou splátkového </w:t>
      </w:r>
      <w:r w:rsidR="00A0654D">
        <w:t xml:space="preserve">kalendáře, kdy doplatek ve výši rozdílu bude realizován v lednu roku 2015. Zároveň budou v roce 2014 vyhodnocovány volné zdroje rozpočtu, které mohou být využity na zajištění krytí uvedeného rozdílu již v roce 2014 (přebytek hospodaření za rok 2013, jiné neočekávané zdroje rozpočtu 2014). </w:t>
      </w:r>
    </w:p>
    <w:p w:rsidR="0099509C" w:rsidRDefault="0099509C" w:rsidP="00101F9E">
      <w:pPr>
        <w:pStyle w:val="vlevo"/>
      </w:pPr>
    </w:p>
    <w:p w:rsidR="00B60F1E" w:rsidRDefault="00C14B08" w:rsidP="00101F9E">
      <w:pPr>
        <w:pStyle w:val="vlevo"/>
      </w:pPr>
      <w:r>
        <w:t>Bilance rozpočtu města jako celku vychází z dílčích návrhů rozpočtů (rozpočtu celoměstských orgánů – MMP a rozpočtů jednotlivých městských obvodů – MO).</w:t>
      </w:r>
    </w:p>
    <w:p w:rsidR="00C14B08" w:rsidRDefault="00C14B08" w:rsidP="00101F9E">
      <w:pPr>
        <w:pStyle w:val="vlevo"/>
      </w:pPr>
      <w:r>
        <w:t xml:space="preserve">Rozpočty jednotlivých městských obvodů vychází z finančního vztahu rozpočtu města k rozpočtům městských obvodů (dále jen finanční vztah), který tvoří v souladu se </w:t>
      </w:r>
      <w:r w:rsidR="005A3CC1">
        <w:t xml:space="preserve">Statutem města v platném </w:t>
      </w:r>
      <w:r>
        <w:t xml:space="preserve">znění procentní podíl na </w:t>
      </w:r>
      <w:r w:rsidR="005A3CC1">
        <w:t xml:space="preserve">celkových příjmech z cizích daní, </w:t>
      </w:r>
      <w:r w:rsidR="003B0343">
        <w:t>podíl na příjmech z odvodu z loterií a jiných podobných her</w:t>
      </w:r>
      <w:r>
        <w:t xml:space="preserve"> a podíl příspěvk</w:t>
      </w:r>
      <w:r w:rsidR="003B0343">
        <w:t>u na výkon státní správy</w:t>
      </w:r>
      <w:r>
        <w:t>.</w:t>
      </w:r>
      <w:r w:rsidR="003B0343">
        <w:t xml:space="preserve"> </w:t>
      </w:r>
      <w:r>
        <w:t>Finanční vztah pro rok 201</w:t>
      </w:r>
      <w:r w:rsidR="002E73E5">
        <w:t>4</w:t>
      </w:r>
      <w:r>
        <w:t xml:space="preserve"> včetně rozpočtového výhledu byl schválen usnesením ZMP</w:t>
      </w:r>
      <w:r w:rsidR="003B0343">
        <w:t xml:space="preserve"> </w:t>
      </w:r>
      <w:r>
        <w:t>č. 5</w:t>
      </w:r>
      <w:r w:rsidR="00EA2909">
        <w:t>51</w:t>
      </w:r>
      <w:r w:rsidR="003B0343">
        <w:t xml:space="preserve"> ze dne </w:t>
      </w:r>
      <w:r w:rsidR="00EA2909">
        <w:t>7</w:t>
      </w:r>
      <w:r>
        <w:t>.</w:t>
      </w:r>
      <w:r w:rsidR="003B0343">
        <w:t xml:space="preserve"> </w:t>
      </w:r>
      <w:r>
        <w:t>11.</w:t>
      </w:r>
      <w:r w:rsidR="003B0343">
        <w:t xml:space="preserve"> </w:t>
      </w:r>
      <w:r>
        <w:t>201</w:t>
      </w:r>
      <w:r w:rsidR="00EA2909">
        <w:t>3. Vzhledem k tomu, že v průběhu procesu sestavování rozpočtového výhledu města v letech 2016 a 2017 došlo k navýšení příjmů daně z nemovitosti, je v rámci bodu II/7 tohoto usnesení</w:t>
      </w:r>
      <w:r w:rsidR="003B0343">
        <w:t xml:space="preserve"> </w:t>
      </w:r>
      <w:r w:rsidR="00E55371">
        <w:t>zapracována úprava</w:t>
      </w:r>
      <w:r w:rsidR="00EA2909">
        <w:t xml:space="preserve"> finančního vztahu v předmětných výhledových letech </w:t>
      </w:r>
      <w:r w:rsidR="003B0343">
        <w:t>(</w:t>
      </w:r>
      <w:r w:rsidR="00EA2909">
        <w:t xml:space="preserve">kompletní finanční vztah </w:t>
      </w:r>
      <w:r w:rsidR="003B0343">
        <w:t>str. 5</w:t>
      </w:r>
      <w:r w:rsidR="00DB2929">
        <w:t xml:space="preserve"> - 7</w:t>
      </w:r>
      <w:r w:rsidR="003B0343">
        <w:t>, přílohy č. 1 tohoto usnesení</w:t>
      </w:r>
      <w:r w:rsidR="00DB2929">
        <w:t>)</w:t>
      </w:r>
      <w:r>
        <w:t xml:space="preserve">. </w:t>
      </w:r>
      <w:r w:rsidR="008D7966">
        <w:t xml:space="preserve">Městské obvody </w:t>
      </w:r>
      <w:r w:rsidR="008D7966">
        <w:lastRenderedPageBreak/>
        <w:t>zapracovaly tuto úpravu do svých rozpočtových výhledů a předloží ji ke schválení v příslušném zastupitelstvu před projednávání rozpočtu města v zastupitelstvu města, tj. tak aby byla zajištěna vyrovnanost rozpočtové bilance města.</w:t>
      </w:r>
    </w:p>
    <w:p w:rsidR="0099509C" w:rsidRDefault="0099509C" w:rsidP="00101F9E">
      <w:pPr>
        <w:pStyle w:val="vlevo"/>
      </w:pPr>
    </w:p>
    <w:p w:rsidR="0099509C" w:rsidRDefault="0099509C" w:rsidP="00101F9E">
      <w:pPr>
        <w:pStyle w:val="vlevo"/>
      </w:pPr>
    </w:p>
    <w:p w:rsidR="00025694" w:rsidRDefault="00025694" w:rsidP="00101F9E">
      <w:pPr>
        <w:pStyle w:val="vlev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1709"/>
        <w:gridCol w:w="1709"/>
        <w:gridCol w:w="1709"/>
        <w:gridCol w:w="1709"/>
      </w:tblGrid>
      <w:tr w:rsidR="00A96A66" w:rsidTr="00A96A66">
        <w:tc>
          <w:tcPr>
            <w:tcW w:w="2376" w:type="dxa"/>
          </w:tcPr>
          <w:p w:rsidR="00A96A66" w:rsidRPr="0099509C" w:rsidRDefault="00A96A66" w:rsidP="00101F9E">
            <w:pPr>
              <w:pStyle w:val="vlevo"/>
            </w:pPr>
            <w:r w:rsidRPr="0099509C">
              <w:t xml:space="preserve">MO 1 – 10 </w:t>
            </w:r>
            <w:r w:rsidR="0043281F" w:rsidRPr="0099509C">
              <w:t>podíl na příjmech z daní</w:t>
            </w:r>
          </w:p>
        </w:tc>
        <w:tc>
          <w:tcPr>
            <w:tcW w:w="1709" w:type="dxa"/>
            <w:vAlign w:val="center"/>
          </w:tcPr>
          <w:p w:rsidR="00A96A66" w:rsidRPr="0099509C" w:rsidRDefault="00A96A66" w:rsidP="00101F9E">
            <w:pPr>
              <w:pStyle w:val="vlevo"/>
            </w:pPr>
            <w:r w:rsidRPr="0099509C">
              <w:t>2014</w:t>
            </w:r>
          </w:p>
        </w:tc>
        <w:tc>
          <w:tcPr>
            <w:tcW w:w="1709" w:type="dxa"/>
            <w:vAlign w:val="center"/>
          </w:tcPr>
          <w:p w:rsidR="00A96A66" w:rsidRPr="0099509C" w:rsidRDefault="00A96A66" w:rsidP="00101F9E">
            <w:pPr>
              <w:pStyle w:val="vlevo"/>
            </w:pPr>
            <w:r w:rsidRPr="0099509C">
              <w:t>2015</w:t>
            </w:r>
          </w:p>
        </w:tc>
        <w:tc>
          <w:tcPr>
            <w:tcW w:w="1709" w:type="dxa"/>
            <w:vAlign w:val="center"/>
          </w:tcPr>
          <w:p w:rsidR="00A96A66" w:rsidRPr="0099509C" w:rsidRDefault="00A96A66" w:rsidP="00101F9E">
            <w:pPr>
              <w:pStyle w:val="vlevo"/>
            </w:pPr>
            <w:r w:rsidRPr="0099509C">
              <w:t>2016</w:t>
            </w:r>
          </w:p>
        </w:tc>
        <w:tc>
          <w:tcPr>
            <w:tcW w:w="1709" w:type="dxa"/>
            <w:vAlign w:val="center"/>
          </w:tcPr>
          <w:p w:rsidR="00A96A66" w:rsidRPr="0099509C" w:rsidRDefault="00A96A66" w:rsidP="00101F9E">
            <w:pPr>
              <w:pStyle w:val="vlevo"/>
            </w:pPr>
            <w:r w:rsidRPr="0099509C">
              <w:t>2017</w:t>
            </w:r>
          </w:p>
        </w:tc>
      </w:tr>
      <w:tr w:rsidR="00A96A66" w:rsidTr="0043281F">
        <w:tc>
          <w:tcPr>
            <w:tcW w:w="2376" w:type="dxa"/>
          </w:tcPr>
          <w:p w:rsidR="00A96A66" w:rsidRDefault="00A96A66" w:rsidP="00101F9E">
            <w:pPr>
              <w:pStyle w:val="vlevo"/>
            </w:pPr>
            <w:r>
              <w:t xml:space="preserve">ZMP č. 551 ze dne </w:t>
            </w:r>
            <w:proofErr w:type="gramStart"/>
            <w:r>
              <w:t>7.11.2013</w:t>
            </w:r>
            <w:proofErr w:type="gramEnd"/>
          </w:p>
        </w:tc>
        <w:tc>
          <w:tcPr>
            <w:tcW w:w="1709" w:type="dxa"/>
            <w:vAlign w:val="center"/>
          </w:tcPr>
          <w:p w:rsidR="00A96A66" w:rsidRDefault="00A96A66" w:rsidP="00101F9E">
            <w:pPr>
              <w:pStyle w:val="vlevo"/>
            </w:pPr>
            <w:r>
              <w:t>382 168</w:t>
            </w:r>
          </w:p>
        </w:tc>
        <w:tc>
          <w:tcPr>
            <w:tcW w:w="1709" w:type="dxa"/>
            <w:vAlign w:val="center"/>
          </w:tcPr>
          <w:p w:rsidR="00A96A66" w:rsidRDefault="00A96A66" w:rsidP="00101F9E">
            <w:pPr>
              <w:pStyle w:val="vlevo"/>
            </w:pPr>
            <w:r>
              <w:t>385 951</w:t>
            </w:r>
          </w:p>
        </w:tc>
        <w:tc>
          <w:tcPr>
            <w:tcW w:w="1709" w:type="dxa"/>
            <w:vAlign w:val="center"/>
          </w:tcPr>
          <w:p w:rsidR="00A96A66" w:rsidRDefault="00A96A66" w:rsidP="00101F9E">
            <w:pPr>
              <w:pStyle w:val="vlevo"/>
            </w:pPr>
            <w:r>
              <w:t>389 735</w:t>
            </w:r>
          </w:p>
        </w:tc>
        <w:tc>
          <w:tcPr>
            <w:tcW w:w="1709" w:type="dxa"/>
            <w:vAlign w:val="center"/>
          </w:tcPr>
          <w:p w:rsidR="00A96A66" w:rsidRDefault="0043281F" w:rsidP="00101F9E">
            <w:pPr>
              <w:pStyle w:val="vlevo"/>
            </w:pPr>
            <w:r>
              <w:t>393 519</w:t>
            </w:r>
          </w:p>
        </w:tc>
      </w:tr>
      <w:tr w:rsidR="0043281F" w:rsidTr="000F2A56">
        <w:tc>
          <w:tcPr>
            <w:tcW w:w="2376" w:type="dxa"/>
          </w:tcPr>
          <w:p w:rsidR="0043281F" w:rsidRDefault="0043281F" w:rsidP="00101F9E">
            <w:pPr>
              <w:pStyle w:val="vlevo"/>
            </w:pPr>
            <w:r>
              <w:t>Úprava</w:t>
            </w:r>
          </w:p>
        </w:tc>
        <w:tc>
          <w:tcPr>
            <w:tcW w:w="1709" w:type="dxa"/>
            <w:vAlign w:val="center"/>
          </w:tcPr>
          <w:p w:rsidR="0043281F" w:rsidRDefault="0043281F" w:rsidP="00101F9E">
            <w:pPr>
              <w:pStyle w:val="vlevo"/>
            </w:pPr>
            <w:r>
              <w:t>382 168</w:t>
            </w:r>
          </w:p>
        </w:tc>
        <w:tc>
          <w:tcPr>
            <w:tcW w:w="1709" w:type="dxa"/>
            <w:vAlign w:val="center"/>
          </w:tcPr>
          <w:p w:rsidR="0043281F" w:rsidRDefault="0043281F" w:rsidP="00101F9E">
            <w:pPr>
              <w:pStyle w:val="vlevo"/>
            </w:pPr>
            <w:r>
              <w:t>385 951</w:t>
            </w:r>
          </w:p>
        </w:tc>
        <w:tc>
          <w:tcPr>
            <w:tcW w:w="1709" w:type="dxa"/>
            <w:vAlign w:val="center"/>
          </w:tcPr>
          <w:p w:rsidR="0043281F" w:rsidRDefault="0043281F" w:rsidP="00101F9E">
            <w:pPr>
              <w:pStyle w:val="vlevo"/>
            </w:pPr>
            <w:r>
              <w:t>403 610</w:t>
            </w:r>
          </w:p>
        </w:tc>
        <w:tc>
          <w:tcPr>
            <w:tcW w:w="1709" w:type="dxa"/>
            <w:vAlign w:val="center"/>
          </w:tcPr>
          <w:p w:rsidR="0043281F" w:rsidRDefault="0043281F" w:rsidP="00101F9E">
            <w:pPr>
              <w:pStyle w:val="vlevo"/>
            </w:pPr>
            <w:r>
              <w:t>407 393</w:t>
            </w:r>
          </w:p>
        </w:tc>
      </w:tr>
      <w:tr w:rsidR="0043281F" w:rsidTr="000F2A56">
        <w:tc>
          <w:tcPr>
            <w:tcW w:w="2376" w:type="dxa"/>
          </w:tcPr>
          <w:p w:rsidR="0043281F" w:rsidRDefault="0043281F" w:rsidP="00101F9E">
            <w:pPr>
              <w:pStyle w:val="vlevo"/>
            </w:pPr>
            <w:r>
              <w:t>Rozdíl</w:t>
            </w:r>
          </w:p>
        </w:tc>
        <w:tc>
          <w:tcPr>
            <w:tcW w:w="1709" w:type="dxa"/>
            <w:vAlign w:val="center"/>
          </w:tcPr>
          <w:p w:rsidR="0043281F" w:rsidRDefault="0043281F" w:rsidP="00101F9E">
            <w:pPr>
              <w:pStyle w:val="vlevo"/>
            </w:pPr>
            <w:r>
              <w:t>0</w:t>
            </w:r>
          </w:p>
        </w:tc>
        <w:tc>
          <w:tcPr>
            <w:tcW w:w="1709" w:type="dxa"/>
            <w:vAlign w:val="center"/>
          </w:tcPr>
          <w:p w:rsidR="0043281F" w:rsidRDefault="0043281F" w:rsidP="00101F9E">
            <w:pPr>
              <w:pStyle w:val="vlevo"/>
            </w:pPr>
            <w:r>
              <w:t>0</w:t>
            </w:r>
          </w:p>
        </w:tc>
        <w:tc>
          <w:tcPr>
            <w:tcW w:w="1709" w:type="dxa"/>
            <w:vAlign w:val="center"/>
          </w:tcPr>
          <w:p w:rsidR="0043281F" w:rsidRDefault="0043281F" w:rsidP="00101F9E">
            <w:pPr>
              <w:pStyle w:val="vlevo"/>
            </w:pPr>
            <w:r>
              <w:t>13 875</w:t>
            </w:r>
          </w:p>
        </w:tc>
        <w:tc>
          <w:tcPr>
            <w:tcW w:w="1709" w:type="dxa"/>
            <w:vAlign w:val="center"/>
          </w:tcPr>
          <w:p w:rsidR="0043281F" w:rsidRDefault="0043281F" w:rsidP="00101F9E">
            <w:pPr>
              <w:pStyle w:val="vlevo"/>
            </w:pPr>
            <w:r>
              <w:t>13 874</w:t>
            </w:r>
          </w:p>
        </w:tc>
      </w:tr>
    </w:tbl>
    <w:p w:rsidR="00025694" w:rsidRDefault="00025694" w:rsidP="00101F9E">
      <w:pPr>
        <w:pStyle w:val="vlevo"/>
      </w:pPr>
    </w:p>
    <w:p w:rsidR="00EA2909" w:rsidRDefault="00EA2909" w:rsidP="00101F9E">
      <w:pPr>
        <w:pStyle w:val="vlevo"/>
      </w:pPr>
    </w:p>
    <w:p w:rsidR="00DB2929" w:rsidRDefault="00A15DEA" w:rsidP="00101F9E">
      <w:pPr>
        <w:pStyle w:val="vlevo"/>
      </w:pPr>
      <w:r w:rsidRPr="00A111BF">
        <w:t>Rozpočet MMP na rok 201</w:t>
      </w:r>
      <w:r w:rsidR="00EA2909">
        <w:t>4</w:t>
      </w:r>
      <w:r w:rsidRPr="00A111BF">
        <w:t xml:space="preserve"> byl sestavován v souladu se Zásadami pro sestavení rozpočtu města Plzně na rok 201</w:t>
      </w:r>
      <w:r w:rsidR="00EA2909">
        <w:t>4</w:t>
      </w:r>
      <w:r w:rsidRPr="00A111BF">
        <w:t xml:space="preserve"> schválen</w:t>
      </w:r>
      <w:r w:rsidR="00DB2929">
        <w:t>ými</w:t>
      </w:r>
      <w:r w:rsidRPr="00A111BF">
        <w:t xml:space="preserve"> usnesením RMP č. </w:t>
      </w:r>
      <w:r w:rsidR="00EA2909">
        <w:t>679</w:t>
      </w:r>
      <w:r w:rsidR="00B60F1E">
        <w:t xml:space="preserve"> </w:t>
      </w:r>
      <w:r w:rsidRPr="00A111BF">
        <w:t xml:space="preserve">ze dne </w:t>
      </w:r>
      <w:r w:rsidR="00EA2909">
        <w:t>27</w:t>
      </w:r>
      <w:r w:rsidRPr="00A111BF">
        <w:t>.</w:t>
      </w:r>
      <w:r w:rsidR="009E3664">
        <w:t xml:space="preserve"> </w:t>
      </w:r>
      <w:r w:rsidRPr="00A111BF">
        <w:t>6.</w:t>
      </w:r>
      <w:r w:rsidR="009E3664">
        <w:t xml:space="preserve"> </w:t>
      </w:r>
      <w:r w:rsidRPr="00A111BF">
        <w:t>20</w:t>
      </w:r>
      <w:r>
        <w:t>1</w:t>
      </w:r>
      <w:r w:rsidR="00EA2909">
        <w:t>3</w:t>
      </w:r>
      <w:r w:rsidRPr="00A111BF">
        <w:t>. Návrh rozpočtu MMP zpracovaný prvotně příslušně odvětvovými odbory (správci rozpočtu) byl následně konzultován s EÚ MMP, kde jednotlivé návrhy byly porovnávány s posledním rozpočtovým výh</w:t>
      </w:r>
      <w:r w:rsidR="00E55371">
        <w:t>ledem schváleným usnesením ZMP č. 594</w:t>
      </w:r>
      <w:r>
        <w:t xml:space="preserve"> </w:t>
      </w:r>
      <w:r w:rsidRPr="00A111BF">
        <w:t xml:space="preserve">ze dne </w:t>
      </w:r>
      <w:r w:rsidR="00EA2909">
        <w:t>13</w:t>
      </w:r>
      <w:r>
        <w:t>.</w:t>
      </w:r>
      <w:r w:rsidR="009E3664">
        <w:t xml:space="preserve"> </w:t>
      </w:r>
      <w:r>
        <w:t>12.</w:t>
      </w:r>
      <w:r w:rsidR="009E3664">
        <w:t xml:space="preserve"> </w:t>
      </w:r>
      <w:r>
        <w:t>201</w:t>
      </w:r>
      <w:r w:rsidR="00EA2909">
        <w:t>2</w:t>
      </w:r>
      <w:r w:rsidR="00DB2929">
        <w:t xml:space="preserve"> při </w:t>
      </w:r>
      <w:r w:rsidR="00EA2909">
        <w:t>schvalování rozpočtu na rok 2013</w:t>
      </w:r>
      <w:r w:rsidR="00DB2929">
        <w:t xml:space="preserve"> po úpravě schválené usnesením </w:t>
      </w:r>
      <w:r>
        <w:t xml:space="preserve">ZMP </w:t>
      </w:r>
      <w:r w:rsidRPr="008D7966">
        <w:t xml:space="preserve">č. </w:t>
      </w:r>
      <w:r w:rsidR="008D7966" w:rsidRPr="008D7966">
        <w:t>109</w:t>
      </w:r>
      <w:r w:rsidR="00DB2929" w:rsidRPr="008D7966">
        <w:t xml:space="preserve"> ze dne</w:t>
      </w:r>
      <w:r w:rsidR="008D7966" w:rsidRPr="008D7966">
        <w:t xml:space="preserve"> 21.</w:t>
      </w:r>
      <w:r w:rsidR="00AF33F4">
        <w:t xml:space="preserve"> </w:t>
      </w:r>
      <w:r w:rsidR="008D7966" w:rsidRPr="008D7966">
        <w:t>3.</w:t>
      </w:r>
      <w:r w:rsidR="00AF33F4">
        <w:t xml:space="preserve"> </w:t>
      </w:r>
      <w:r w:rsidR="008D7966" w:rsidRPr="008D7966">
        <w:t>2013</w:t>
      </w:r>
      <w:r w:rsidR="00DB2929" w:rsidRPr="008D7966">
        <w:t>,</w:t>
      </w:r>
      <w:r w:rsidR="00DB2929">
        <w:t xml:space="preserve"> </w:t>
      </w:r>
      <w:r w:rsidR="00DB2929" w:rsidRPr="00A111BF">
        <w:t>dále pak se skutečným plněním rozpočtu minulých dvou let, s rozpočtem na rok 20</w:t>
      </w:r>
      <w:r w:rsidR="00EA2909">
        <w:t>13</w:t>
      </w:r>
      <w:r w:rsidR="00DB2929" w:rsidRPr="00A111BF">
        <w:t xml:space="preserve"> a očekávaným plněním rozpočtu za rok 20</w:t>
      </w:r>
      <w:r w:rsidR="00DB2929">
        <w:t>1</w:t>
      </w:r>
      <w:r w:rsidR="00EA2909">
        <w:t>3</w:t>
      </w:r>
      <w:r w:rsidR="00AA7953">
        <w:t>.</w:t>
      </w:r>
    </w:p>
    <w:p w:rsidR="00AA7953" w:rsidRDefault="00AA7953" w:rsidP="00101F9E">
      <w:pPr>
        <w:pStyle w:val="vlevo"/>
      </w:pPr>
    </w:p>
    <w:p w:rsidR="00101F9E" w:rsidRDefault="00101F9E" w:rsidP="00101F9E">
      <w:pPr>
        <w:pStyle w:val="vlevo"/>
      </w:pPr>
      <w:r w:rsidRPr="00AA7953">
        <w:t>Návrh rozpočtu města Plzně na rok 201</w:t>
      </w:r>
      <w:r>
        <w:t>4</w:t>
      </w:r>
      <w:r w:rsidRPr="00AA7953">
        <w:t xml:space="preserve"> včetně rozpočtového výhledu byl projednán</w:t>
      </w:r>
      <w:r>
        <w:t>:</w:t>
      </w:r>
    </w:p>
    <w:p w:rsidR="00101F9E" w:rsidRDefault="00101F9E" w:rsidP="00101F9E">
      <w:pPr>
        <w:pStyle w:val="vlevo"/>
        <w:numPr>
          <w:ilvl w:val="0"/>
          <w:numId w:val="24"/>
        </w:numPr>
      </w:pPr>
      <w:r w:rsidRPr="00AA7953">
        <w:t>Finanční komis</w:t>
      </w:r>
      <w:r>
        <w:t>í</w:t>
      </w:r>
      <w:r w:rsidRPr="00AA7953">
        <w:t xml:space="preserve"> </w:t>
      </w:r>
      <w:r>
        <w:t xml:space="preserve">RMP </w:t>
      </w:r>
      <w:r w:rsidRPr="00AA7953">
        <w:t>dne 2</w:t>
      </w:r>
      <w:r>
        <w:t>5</w:t>
      </w:r>
      <w:r w:rsidRPr="00AA7953">
        <w:t>.</w:t>
      </w:r>
      <w:r>
        <w:t xml:space="preserve"> </w:t>
      </w:r>
      <w:r w:rsidRPr="00AA7953">
        <w:t>11.</w:t>
      </w:r>
      <w:r>
        <w:t xml:space="preserve"> </w:t>
      </w:r>
      <w:r w:rsidRPr="00AA7953">
        <w:t>201</w:t>
      </w:r>
      <w:r>
        <w:t>3 a doporučen ke schválení usnesením č. 77</w:t>
      </w:r>
    </w:p>
    <w:p w:rsidR="00101F9E" w:rsidRDefault="00101F9E" w:rsidP="00101F9E">
      <w:pPr>
        <w:pStyle w:val="vlevo"/>
        <w:numPr>
          <w:ilvl w:val="0"/>
          <w:numId w:val="24"/>
        </w:numPr>
      </w:pPr>
      <w:r>
        <w:t xml:space="preserve">Radou města Plzně dne 27. 11. 2013 a doporučen ke schválení usnesením č. </w:t>
      </w:r>
      <w:r w:rsidR="00EE7B06">
        <w:t>1239</w:t>
      </w:r>
    </w:p>
    <w:p w:rsidR="00101F9E" w:rsidRDefault="00101F9E" w:rsidP="00101F9E">
      <w:pPr>
        <w:pStyle w:val="vlevo"/>
        <w:numPr>
          <w:ilvl w:val="0"/>
          <w:numId w:val="24"/>
        </w:numPr>
      </w:pPr>
      <w:r>
        <w:t xml:space="preserve">Finančním výborem ZMP dne </w:t>
      </w:r>
      <w:r w:rsidR="00DE128D">
        <w:t>10</w:t>
      </w:r>
      <w:r>
        <w:t>. 12. 2013 (usnesení FV ZMP bude předloženo na stůl)</w:t>
      </w:r>
    </w:p>
    <w:p w:rsidR="008730A2" w:rsidRDefault="008730A2" w:rsidP="008730A2">
      <w:pPr>
        <w:pStyle w:val="vlevo"/>
      </w:pPr>
      <w:r>
        <w:t>Návrh rozpočtu města na rok 2014</w:t>
      </w:r>
      <w:r w:rsidR="00CE14E2">
        <w:t xml:space="preserve"> včetně rozpočtového výhledu</w:t>
      </w:r>
      <w:r>
        <w:t xml:space="preserve"> byl </w:t>
      </w:r>
      <w:r w:rsidR="00CE14E2">
        <w:t>prezentován:</w:t>
      </w:r>
    </w:p>
    <w:p w:rsidR="008730A2" w:rsidRDefault="008730A2" w:rsidP="008730A2">
      <w:pPr>
        <w:pStyle w:val="vlevo"/>
        <w:numPr>
          <w:ilvl w:val="0"/>
          <w:numId w:val="24"/>
        </w:numPr>
      </w:pPr>
      <w:r>
        <w:t>dne 2</w:t>
      </w:r>
      <w:r w:rsidR="00CE14E2">
        <w:t>7</w:t>
      </w:r>
      <w:r>
        <w:t xml:space="preserve">. 11. 2013 na semináři ZMP </w:t>
      </w:r>
    </w:p>
    <w:p w:rsidR="008730A2" w:rsidRDefault="008730A2" w:rsidP="008730A2">
      <w:pPr>
        <w:pStyle w:val="vlevo"/>
        <w:numPr>
          <w:ilvl w:val="0"/>
          <w:numId w:val="24"/>
        </w:numPr>
      </w:pPr>
      <w:r>
        <w:t xml:space="preserve">dne 10. 12. 2013 na konzultačním semináři ZMP </w:t>
      </w:r>
    </w:p>
    <w:p w:rsidR="00101F9E" w:rsidRDefault="00101F9E" w:rsidP="00101F9E">
      <w:pPr>
        <w:pStyle w:val="vlevo"/>
      </w:pPr>
    </w:p>
    <w:p w:rsidR="00A15DEA" w:rsidRDefault="00A15DEA" w:rsidP="00101F9E">
      <w:pPr>
        <w:pStyle w:val="vlevo"/>
      </w:pPr>
      <w:r w:rsidRPr="00AA7953">
        <w:t>Další komentář k jednotlivým parametrům rozpočtu</w:t>
      </w:r>
      <w:r w:rsidR="00A94BB6" w:rsidRPr="00AA7953">
        <w:t>, rozpočtového výhledu a dlouhodobého finančního plánu</w:t>
      </w:r>
      <w:r w:rsidRPr="00AA7953">
        <w:t xml:space="preserve"> je součástí materiálu o rozpočtu města na rok 201</w:t>
      </w:r>
      <w:r w:rsidR="00CB03CE">
        <w:t>4</w:t>
      </w:r>
      <w:r w:rsidRPr="00AA7953">
        <w:t xml:space="preserve"> (Příloha č. 1</w:t>
      </w:r>
      <w:r w:rsidR="00A94BB6" w:rsidRPr="00AA7953">
        <w:t xml:space="preserve"> tohoto usnesení</w:t>
      </w:r>
      <w:r w:rsidRPr="00AA7953">
        <w:t>).</w:t>
      </w:r>
    </w:p>
    <w:p w:rsidR="00FB05F1" w:rsidRPr="00FB05F1" w:rsidRDefault="00FB05F1" w:rsidP="00FB05F1">
      <w:pPr>
        <w:jc w:val="both"/>
        <w:rPr>
          <w:u w:val="single"/>
        </w:rPr>
      </w:pPr>
    </w:p>
    <w:p w:rsidR="00A111BF" w:rsidRDefault="00A111BF">
      <w:pPr>
        <w:pStyle w:val="ostzahl"/>
        <w:numPr>
          <w:ilvl w:val="0"/>
          <w:numId w:val="0"/>
        </w:numPr>
      </w:pPr>
      <w:r>
        <w:t>3. Předpokládaný cílový stav</w:t>
      </w:r>
    </w:p>
    <w:p w:rsidR="00A111BF" w:rsidRDefault="00A111BF" w:rsidP="00101F9E">
      <w:pPr>
        <w:pStyle w:val="vlevo"/>
      </w:pPr>
      <w:r>
        <w:t>Schválit rozpočet na rok 20</w:t>
      </w:r>
      <w:r w:rsidR="009801D1">
        <w:t>1</w:t>
      </w:r>
      <w:r w:rsidR="002C5703">
        <w:t>4</w:t>
      </w:r>
      <w:r>
        <w:t xml:space="preserve"> včetn</w:t>
      </w:r>
      <w:r w:rsidR="00A95CBC">
        <w:t>ě rozpočtového výhledu sestavený</w:t>
      </w:r>
      <w:r>
        <w:t>m na roky 201</w:t>
      </w:r>
      <w:r w:rsidR="002C5703">
        <w:t>5</w:t>
      </w:r>
      <w:r>
        <w:t>-201</w:t>
      </w:r>
      <w:r w:rsidR="002C5703">
        <w:t>7</w:t>
      </w:r>
      <w:r>
        <w:t>.</w:t>
      </w:r>
    </w:p>
    <w:p w:rsidR="008D7966" w:rsidRDefault="008D7966" w:rsidP="00101F9E">
      <w:pPr>
        <w:pStyle w:val="vlevo"/>
      </w:pPr>
    </w:p>
    <w:p w:rsidR="00A111BF" w:rsidRDefault="00A111BF">
      <w:pPr>
        <w:pStyle w:val="ostzahl"/>
        <w:numPr>
          <w:ilvl w:val="0"/>
          <w:numId w:val="11"/>
        </w:numPr>
      </w:pPr>
      <w:r>
        <w:t>Navrhované varianty řešení</w:t>
      </w:r>
    </w:p>
    <w:p w:rsidR="00A111BF" w:rsidRDefault="00A111BF" w:rsidP="00101F9E">
      <w:pPr>
        <w:pStyle w:val="vlevo"/>
      </w:pPr>
      <w:r>
        <w:t>Navrhovaná varianta je jediná.</w:t>
      </w:r>
    </w:p>
    <w:p w:rsidR="008D7966" w:rsidRDefault="008D7966" w:rsidP="00101F9E">
      <w:pPr>
        <w:pStyle w:val="vlevo"/>
      </w:pPr>
    </w:p>
    <w:p w:rsidR="00A111BF" w:rsidRDefault="00A111BF">
      <w:pPr>
        <w:pStyle w:val="ostzahl"/>
        <w:numPr>
          <w:ilvl w:val="0"/>
          <w:numId w:val="11"/>
        </w:numPr>
      </w:pPr>
      <w:r>
        <w:t>Doporučená varianta řešení</w:t>
      </w:r>
    </w:p>
    <w:p w:rsidR="00A111BF" w:rsidRDefault="00A95CBC" w:rsidP="00101F9E">
      <w:pPr>
        <w:pStyle w:val="vlevo"/>
      </w:pPr>
      <w:r>
        <w:t xml:space="preserve">Dle bodu II a III </w:t>
      </w:r>
      <w:r w:rsidR="00A111BF">
        <w:t>návrhu usnesení.</w:t>
      </w:r>
    </w:p>
    <w:p w:rsidR="008D7966" w:rsidRDefault="008D7966" w:rsidP="00101F9E">
      <w:pPr>
        <w:pStyle w:val="vlevo"/>
      </w:pPr>
    </w:p>
    <w:p w:rsidR="00AF33F4" w:rsidRDefault="00AF33F4" w:rsidP="00101F9E">
      <w:pPr>
        <w:pStyle w:val="vlevo"/>
      </w:pPr>
    </w:p>
    <w:p w:rsidR="00CE14E2" w:rsidRDefault="00CE14E2" w:rsidP="00101F9E">
      <w:pPr>
        <w:pStyle w:val="vlevo"/>
      </w:pPr>
    </w:p>
    <w:p w:rsidR="00A111BF" w:rsidRDefault="00A111BF">
      <w:pPr>
        <w:pStyle w:val="ostzahl"/>
        <w:numPr>
          <w:ilvl w:val="0"/>
          <w:numId w:val="11"/>
        </w:numPr>
      </w:pPr>
      <w:r>
        <w:lastRenderedPageBreak/>
        <w:t>Finanční nároky řešení a možnosti finančního krytí</w:t>
      </w:r>
    </w:p>
    <w:p w:rsidR="00A111BF" w:rsidRDefault="00A111BF" w:rsidP="00101F9E">
      <w:pPr>
        <w:pStyle w:val="vlevo"/>
      </w:pPr>
      <w:r>
        <w:t>Nejsou.</w:t>
      </w:r>
    </w:p>
    <w:p w:rsidR="008D7966" w:rsidRDefault="008D7966" w:rsidP="00101F9E">
      <w:pPr>
        <w:pStyle w:val="vlevo"/>
      </w:pPr>
    </w:p>
    <w:p w:rsidR="00A111BF" w:rsidRDefault="00A111BF">
      <w:pPr>
        <w:pStyle w:val="ostzahl"/>
      </w:pPr>
      <w:r>
        <w:t>Návrh termínů realizace a určení zodpovědných pracovníků</w:t>
      </w:r>
    </w:p>
    <w:p w:rsidR="00D02C05" w:rsidRDefault="00A111BF" w:rsidP="00101F9E">
      <w:pPr>
        <w:pStyle w:val="vlevo"/>
      </w:pPr>
      <w:r>
        <w:t xml:space="preserve">Dle bodu </w:t>
      </w:r>
      <w:r w:rsidR="00A95CBC">
        <w:t>V</w:t>
      </w:r>
      <w:r>
        <w:t xml:space="preserve"> návrhu usnesení.</w:t>
      </w:r>
    </w:p>
    <w:p w:rsidR="008D7966" w:rsidRDefault="008D7966" w:rsidP="00101F9E">
      <w:pPr>
        <w:pStyle w:val="vlevo"/>
      </w:pPr>
    </w:p>
    <w:p w:rsidR="00A111BF" w:rsidRDefault="00A111BF">
      <w:pPr>
        <w:pStyle w:val="ostzahl"/>
      </w:pPr>
      <w:r>
        <w:t>Dříve přijatá usnesení orgánů města nebo městských obvodů, která s tímto návrhem souvisejí</w:t>
      </w:r>
    </w:p>
    <w:p w:rsidR="005522B5" w:rsidRDefault="005522B5" w:rsidP="00101F9E">
      <w:pPr>
        <w:pStyle w:val="vlevo"/>
      </w:pPr>
      <w:r>
        <w:t xml:space="preserve">ZMP č. </w:t>
      </w:r>
      <w:r w:rsidR="00144DE6">
        <w:t>5</w:t>
      </w:r>
      <w:r w:rsidR="002C5703">
        <w:t>51 ze dne 7</w:t>
      </w:r>
      <w:r w:rsidR="00144DE6">
        <w:t>.</w:t>
      </w:r>
      <w:r w:rsidR="00C16E00">
        <w:t xml:space="preserve"> </w:t>
      </w:r>
      <w:r w:rsidR="00144DE6">
        <w:t>11.</w:t>
      </w:r>
      <w:r w:rsidR="00C16E00">
        <w:t xml:space="preserve"> </w:t>
      </w:r>
      <w:r w:rsidR="00144DE6">
        <w:t>201</w:t>
      </w:r>
      <w:r w:rsidR="002C5703">
        <w:t>3</w:t>
      </w:r>
      <w:r>
        <w:t>, kterým byl schválen finanční vztah rozpočtu města k městským obvodům pro rok 201</w:t>
      </w:r>
      <w:r w:rsidR="002C5703">
        <w:t>4</w:t>
      </w:r>
      <w:r w:rsidR="00144DE6">
        <w:t xml:space="preserve"> a rozpočtový výhled 201</w:t>
      </w:r>
      <w:r w:rsidR="002C5703">
        <w:t>5</w:t>
      </w:r>
      <w:r w:rsidR="00144DE6">
        <w:t xml:space="preserve"> </w:t>
      </w:r>
      <w:r w:rsidR="009C3DB7">
        <w:t>–</w:t>
      </w:r>
      <w:r w:rsidR="00144DE6">
        <w:t xml:space="preserve"> 201</w:t>
      </w:r>
      <w:r w:rsidR="002C5703">
        <w:t>7</w:t>
      </w:r>
    </w:p>
    <w:p w:rsidR="00A111BF" w:rsidRDefault="00A111BF" w:rsidP="00101F9E">
      <w:pPr>
        <w:pStyle w:val="vlevo"/>
      </w:pPr>
      <w:r>
        <w:t xml:space="preserve">RMP č. </w:t>
      </w:r>
      <w:r w:rsidR="002C5703">
        <w:t>679</w:t>
      </w:r>
      <w:r>
        <w:t xml:space="preserve"> ze dne </w:t>
      </w:r>
      <w:r w:rsidR="00C16E00">
        <w:t>2</w:t>
      </w:r>
      <w:r w:rsidR="002C5703">
        <w:t>7</w:t>
      </w:r>
      <w:r w:rsidR="009F42FD">
        <w:t>.</w:t>
      </w:r>
      <w:r w:rsidR="00C16E00">
        <w:t xml:space="preserve"> </w:t>
      </w:r>
      <w:r w:rsidR="009F42FD">
        <w:t>6.</w:t>
      </w:r>
      <w:r w:rsidR="00C16E00">
        <w:t xml:space="preserve"> </w:t>
      </w:r>
      <w:r w:rsidR="009F42FD">
        <w:t>201</w:t>
      </w:r>
      <w:r w:rsidR="002C5703">
        <w:t>3</w:t>
      </w:r>
      <w:r>
        <w:t>, kterým byly schváleny Zásady a Harmonogram pro sestavení návrhu rozpočtu města Plzně na rok 20</w:t>
      </w:r>
      <w:r w:rsidR="009F42FD">
        <w:t>1</w:t>
      </w:r>
      <w:r w:rsidR="002C5703">
        <w:t>4</w:t>
      </w:r>
      <w:r w:rsidR="00144DE6">
        <w:t xml:space="preserve"> včetně rozpočtového výhledu</w:t>
      </w:r>
    </w:p>
    <w:p w:rsidR="0015138C" w:rsidRDefault="0015138C" w:rsidP="00101F9E">
      <w:pPr>
        <w:pStyle w:val="vlevo"/>
      </w:pPr>
      <w:r w:rsidRPr="00304AD3">
        <w:t xml:space="preserve">FK RMP </w:t>
      </w:r>
      <w:r w:rsidR="00AF33F4">
        <w:t xml:space="preserve">č. 77 </w:t>
      </w:r>
      <w:r w:rsidRPr="00304AD3">
        <w:t>ze dne 2</w:t>
      </w:r>
      <w:r w:rsidR="002C5703">
        <w:t>5</w:t>
      </w:r>
      <w:r w:rsidRPr="00304AD3">
        <w:t>.</w:t>
      </w:r>
      <w:r w:rsidR="00623032">
        <w:t xml:space="preserve"> </w:t>
      </w:r>
      <w:r w:rsidRPr="00304AD3">
        <w:t>11.</w:t>
      </w:r>
      <w:r w:rsidR="00623032">
        <w:t xml:space="preserve"> </w:t>
      </w:r>
      <w:r w:rsidRPr="00304AD3">
        <w:t>201</w:t>
      </w:r>
      <w:r w:rsidR="002C5703">
        <w:t>3</w:t>
      </w:r>
    </w:p>
    <w:p w:rsidR="004E6738" w:rsidRPr="00304AD3" w:rsidRDefault="00274F34" w:rsidP="00101F9E">
      <w:pPr>
        <w:pStyle w:val="vlevo"/>
      </w:pPr>
      <w:r>
        <w:t>FV ZM</w:t>
      </w:r>
      <w:r w:rsidR="004E6738">
        <w:t>P ze dne 10.12.2013</w:t>
      </w:r>
    </w:p>
    <w:p w:rsidR="00983986" w:rsidRDefault="00983986" w:rsidP="00101F9E">
      <w:pPr>
        <w:pStyle w:val="vlevo"/>
      </w:pPr>
    </w:p>
    <w:p w:rsidR="00A111BF" w:rsidRDefault="00A111BF">
      <w:pPr>
        <w:pStyle w:val="ostzahl"/>
      </w:pPr>
      <w:r>
        <w:t>Závazky či pohledávky vůči městu</w:t>
      </w:r>
    </w:p>
    <w:p w:rsidR="00A111BF" w:rsidRDefault="00A111BF" w:rsidP="00101F9E">
      <w:pPr>
        <w:pStyle w:val="vlevo"/>
      </w:pPr>
      <w:r>
        <w:t>Nešetří se.</w:t>
      </w:r>
    </w:p>
    <w:p w:rsidR="00A374D6" w:rsidRDefault="00A374D6" w:rsidP="00101F9E">
      <w:pPr>
        <w:pStyle w:val="vlevo"/>
      </w:pPr>
    </w:p>
    <w:p w:rsidR="00077535" w:rsidRDefault="00077535" w:rsidP="00101F9E">
      <w:pPr>
        <w:pStyle w:val="vlevo"/>
      </w:pPr>
    </w:p>
    <w:p w:rsidR="00077535" w:rsidRDefault="00077535" w:rsidP="00101F9E">
      <w:pPr>
        <w:pStyle w:val="vlevo"/>
      </w:pPr>
    </w:p>
    <w:p w:rsidR="00A111BF" w:rsidRDefault="00983986" w:rsidP="00983986">
      <w:pPr>
        <w:pStyle w:val="ostzahl"/>
      </w:pPr>
      <w:r>
        <w:t>Přílohy</w:t>
      </w:r>
    </w:p>
    <w:p w:rsidR="00A111BF" w:rsidRDefault="00CE2DD9" w:rsidP="00101F9E">
      <w:pPr>
        <w:pStyle w:val="vlevo"/>
      </w:pPr>
      <w:r>
        <w:t>Příloha č. 1</w:t>
      </w:r>
      <w:r>
        <w:tab/>
      </w:r>
      <w:r w:rsidR="00A111BF">
        <w:t xml:space="preserve">– </w:t>
      </w:r>
      <w:r>
        <w:tab/>
      </w:r>
      <w:r w:rsidR="00A111BF">
        <w:t>Rozpočet na rok 20</w:t>
      </w:r>
      <w:r w:rsidR="009F42FD">
        <w:t>1</w:t>
      </w:r>
      <w:r w:rsidR="002C5703">
        <w:t>4</w:t>
      </w:r>
      <w:r w:rsidR="00A111BF">
        <w:t xml:space="preserve"> včetně rozpočtového výhledu v letech 201</w:t>
      </w:r>
      <w:r w:rsidR="002C5703">
        <w:t>5</w:t>
      </w:r>
      <w:r w:rsidR="00A111BF">
        <w:t>-201</w:t>
      </w:r>
      <w:r w:rsidR="002C5703">
        <w:t>7</w:t>
      </w:r>
    </w:p>
    <w:p w:rsidR="00D02C05" w:rsidRDefault="00D02C05" w:rsidP="00101F9E">
      <w:pPr>
        <w:pStyle w:val="vlevo"/>
      </w:pPr>
      <w:r>
        <w:t xml:space="preserve">Příloha č. </w:t>
      </w:r>
      <w:r w:rsidR="00E55371">
        <w:t>2</w:t>
      </w:r>
      <w:r>
        <w:t xml:space="preserve"> </w:t>
      </w:r>
      <w:r w:rsidR="00CE2DD9">
        <w:tab/>
      </w:r>
      <w:r>
        <w:t xml:space="preserve">– </w:t>
      </w:r>
      <w:r w:rsidR="00CE2DD9">
        <w:tab/>
      </w:r>
      <w:r w:rsidR="005D36B5">
        <w:t>Přehled</w:t>
      </w:r>
      <w:r>
        <w:t xml:space="preserve"> použití investičních fondů příspěvkových organizací města</w:t>
      </w:r>
    </w:p>
    <w:p w:rsidR="008D7966" w:rsidRDefault="008D7966" w:rsidP="00101F9E">
      <w:pPr>
        <w:pStyle w:val="vlevo"/>
        <w:ind w:left="1418" w:hanging="1418"/>
      </w:pPr>
      <w:r>
        <w:t>Příloha č. 3</w:t>
      </w:r>
      <w:r>
        <w:tab/>
        <w:t>–</w:t>
      </w:r>
      <w:r>
        <w:tab/>
        <w:t>Přehled prostředků zapracovaných v návrhu rozpočtu na rok 2014 a RV 2015 v souvislosti s projektem Plzeň – EHMK 2015</w:t>
      </w:r>
    </w:p>
    <w:p w:rsidR="008751EA" w:rsidRDefault="009C3DB7" w:rsidP="00101F9E">
      <w:pPr>
        <w:pStyle w:val="vlevo"/>
      </w:pPr>
      <w:r>
        <w:t xml:space="preserve">Příloha č. </w:t>
      </w:r>
      <w:r w:rsidR="008D7966">
        <w:t>4</w:t>
      </w:r>
      <w:r>
        <w:t xml:space="preserve"> </w:t>
      </w:r>
      <w:r w:rsidR="00CE2DD9">
        <w:tab/>
      </w:r>
      <w:r w:rsidR="00A111BF">
        <w:t xml:space="preserve">– </w:t>
      </w:r>
      <w:r>
        <w:t xml:space="preserve">Dlouhodobý finanční plán </w:t>
      </w:r>
      <w:r w:rsidR="002C5703">
        <w:t>v letech 2018</w:t>
      </w:r>
      <w:r w:rsidR="008751EA">
        <w:t>-202</w:t>
      </w:r>
      <w:r w:rsidR="002C5703">
        <w:t>3</w:t>
      </w:r>
      <w:r w:rsidR="008751EA">
        <w:t xml:space="preserve"> vztahující se k rozpočtu MMP</w:t>
      </w:r>
    </w:p>
    <w:p w:rsidR="009C3DB7" w:rsidRDefault="002C5703" w:rsidP="00101F9E">
      <w:pPr>
        <w:pStyle w:val="vlevo"/>
        <w:ind w:left="1418" w:hanging="1418"/>
      </w:pPr>
      <w:r>
        <w:t xml:space="preserve">Příloha č. </w:t>
      </w:r>
      <w:r w:rsidR="008D7966">
        <w:t>5</w:t>
      </w:r>
      <w:r w:rsidR="00596190" w:rsidRPr="003377C3">
        <w:tab/>
        <w:t>–</w:t>
      </w:r>
      <w:r w:rsidR="00596190" w:rsidRPr="003377C3">
        <w:tab/>
      </w:r>
      <w:r w:rsidR="0024223C" w:rsidRPr="003377C3">
        <w:t xml:space="preserve">Aktualizovaný </w:t>
      </w:r>
      <w:r w:rsidR="00050EA4">
        <w:t>d</w:t>
      </w:r>
      <w:r w:rsidR="009C3DB7" w:rsidRPr="003377C3">
        <w:t xml:space="preserve">okument „Strategické záměry rozvoje města“ s vyznačením </w:t>
      </w:r>
      <w:r w:rsidR="00050EA4">
        <w:t>akcí</w:t>
      </w:r>
      <w:r w:rsidR="009C3DB7" w:rsidRPr="003377C3">
        <w:t xml:space="preserve"> zařazených v rámci návrhu </w:t>
      </w:r>
      <w:r w:rsidR="00CE2DD9" w:rsidRPr="003377C3">
        <w:tab/>
      </w:r>
      <w:r w:rsidR="009C3DB7" w:rsidRPr="003377C3">
        <w:t>rozpočtu města Plzně na rok 201</w:t>
      </w:r>
      <w:r>
        <w:t>4</w:t>
      </w:r>
      <w:r w:rsidR="009C3DB7" w:rsidRPr="003377C3">
        <w:t xml:space="preserve">, příp. </w:t>
      </w:r>
      <w:r w:rsidR="00596190" w:rsidRPr="003377C3">
        <w:tab/>
      </w:r>
      <w:r w:rsidR="009C3DB7" w:rsidRPr="003377C3">
        <w:t>rozpočtového výhledu</w:t>
      </w:r>
    </w:p>
    <w:p w:rsidR="00C71172" w:rsidRDefault="007D0304" w:rsidP="00101F9E">
      <w:pPr>
        <w:pStyle w:val="vlevo"/>
      </w:pPr>
      <w:r>
        <w:t xml:space="preserve">Příloha č. </w:t>
      </w:r>
      <w:r w:rsidR="008D7966">
        <w:t>6</w:t>
      </w:r>
      <w:r w:rsidR="008751EA" w:rsidRPr="008751EA">
        <w:tab/>
      </w:r>
      <w:r w:rsidR="00710460" w:rsidRPr="00710460">
        <w:t>–</w:t>
      </w:r>
      <w:r w:rsidR="00CE2DD9">
        <w:tab/>
      </w:r>
      <w:r w:rsidR="00401609">
        <w:t>U</w:t>
      </w:r>
      <w:r w:rsidR="00A374D6">
        <w:t xml:space="preserve">snesení ZMP č. </w:t>
      </w:r>
      <w:r w:rsidR="003A7F8D">
        <w:t>5</w:t>
      </w:r>
      <w:r w:rsidR="002C5703">
        <w:t>51</w:t>
      </w:r>
      <w:r w:rsidR="003A7F8D">
        <w:t xml:space="preserve"> ze dne </w:t>
      </w:r>
      <w:r w:rsidR="002C5703">
        <w:t>7</w:t>
      </w:r>
      <w:r w:rsidR="00C71172">
        <w:t>.</w:t>
      </w:r>
      <w:r w:rsidR="003A7F8D">
        <w:t xml:space="preserve"> </w:t>
      </w:r>
      <w:r w:rsidR="00C71172">
        <w:t>11.</w:t>
      </w:r>
      <w:r w:rsidR="003A7F8D">
        <w:t xml:space="preserve"> </w:t>
      </w:r>
      <w:r w:rsidR="00C71172">
        <w:t>201</w:t>
      </w:r>
      <w:r w:rsidR="002C5703">
        <w:t>3</w:t>
      </w:r>
      <w:r w:rsidR="00C71172">
        <w:t xml:space="preserve">, kterým byl schválen finanční vztah </w:t>
      </w:r>
      <w:r w:rsidR="00CE2DD9">
        <w:tab/>
      </w:r>
      <w:r w:rsidR="00CE2DD9">
        <w:tab/>
      </w:r>
      <w:r w:rsidR="00C71172">
        <w:t>rozpočtu města k městským obvodům pro rok 201</w:t>
      </w:r>
      <w:r w:rsidR="002C5703">
        <w:t>4</w:t>
      </w:r>
      <w:r w:rsidR="003A7F8D">
        <w:t xml:space="preserve"> a rozpočtový výhled 201</w:t>
      </w:r>
      <w:r w:rsidR="002C5703">
        <w:t>5</w:t>
      </w:r>
      <w:r w:rsidR="00C71172">
        <w:t xml:space="preserve"> </w:t>
      </w:r>
      <w:r w:rsidR="00CE2DD9">
        <w:tab/>
      </w:r>
      <w:r w:rsidR="00CE2DD9">
        <w:tab/>
      </w:r>
      <w:r w:rsidR="003A7F8D">
        <w:t>– 201</w:t>
      </w:r>
      <w:r w:rsidR="002C5703">
        <w:t>7</w:t>
      </w:r>
      <w:r w:rsidR="00BF5532">
        <w:t xml:space="preserve"> </w:t>
      </w:r>
    </w:p>
    <w:p w:rsidR="00401609" w:rsidRDefault="00101F9E" w:rsidP="00101F9E">
      <w:pPr>
        <w:pStyle w:val="vlevo"/>
      </w:pPr>
      <w:r>
        <w:t>Příloha č. 7</w:t>
      </w:r>
      <w:r>
        <w:tab/>
      </w:r>
      <w:r w:rsidR="00401609">
        <w:t>– Usnesení RMP č. 679 ze dne 27. 6. 2013, kterým byly schváleny zásady a</w:t>
      </w:r>
    </w:p>
    <w:p w:rsidR="00341302" w:rsidRDefault="00401609" w:rsidP="00101F9E">
      <w:pPr>
        <w:pStyle w:val="vlevo"/>
      </w:pPr>
      <w:r>
        <w:t xml:space="preserve">                       </w:t>
      </w:r>
      <w:r w:rsidR="00101F9E">
        <w:tab/>
      </w:r>
      <w:r w:rsidR="00101F9E">
        <w:tab/>
      </w:r>
      <w:r>
        <w:t>harmonogram přípravy a sestavení rozpočtu na rok 2014 a RV 2015 –</w:t>
      </w:r>
      <w:r w:rsidR="00BF5532">
        <w:t>2017</w:t>
      </w:r>
      <w:r w:rsidR="00BF5532">
        <w:br/>
      </w:r>
      <w:r w:rsidR="00341302">
        <w:t xml:space="preserve">Příloha č. </w:t>
      </w:r>
      <w:r w:rsidR="00101F9E">
        <w:t>8</w:t>
      </w:r>
      <w:r w:rsidR="00101F9E">
        <w:tab/>
      </w:r>
      <w:r w:rsidR="00AF33F4" w:rsidRPr="00710460">
        <w:t>–</w:t>
      </w:r>
      <w:r>
        <w:t xml:space="preserve"> </w:t>
      </w:r>
      <w:r w:rsidR="00341302">
        <w:t>Oznámení PMDP, a.s. o předběžném odhadu prokazatelné ztráty na rok 2014</w:t>
      </w:r>
    </w:p>
    <w:p w:rsidR="00101F9E" w:rsidRDefault="00101F9E" w:rsidP="00101F9E">
      <w:pPr>
        <w:pStyle w:val="vlevo"/>
        <w:ind w:left="1418" w:hanging="1418"/>
      </w:pPr>
      <w:r>
        <w:t>Příloha č. 9</w:t>
      </w:r>
      <w:r>
        <w:tab/>
      </w:r>
      <w:r w:rsidRPr="00710460">
        <w:t>–</w:t>
      </w:r>
      <w:r>
        <w:tab/>
        <w:t xml:space="preserve">Usnesení RMP č. </w:t>
      </w:r>
      <w:r w:rsidR="00E2746A">
        <w:t>1239</w:t>
      </w:r>
      <w:r>
        <w:t xml:space="preserve"> ze dne 27. 11. 2013, kterým byl odsouhlasen rozpočet města Plzně na rok 2014 včetně rozpočtového výhledu 2015 </w:t>
      </w:r>
      <w:r w:rsidR="00BF5532">
        <w:t>–</w:t>
      </w:r>
      <w:r>
        <w:t xml:space="preserve"> 2017</w:t>
      </w:r>
    </w:p>
    <w:p w:rsidR="00BF5532" w:rsidRDefault="00BF5532" w:rsidP="00101F9E">
      <w:pPr>
        <w:pStyle w:val="vlevo"/>
        <w:ind w:left="1418" w:hanging="1418"/>
      </w:pPr>
      <w:r>
        <w:t xml:space="preserve">Příloha č. 10 – </w:t>
      </w:r>
      <w:bookmarkStart w:id="0" w:name="_GoBack"/>
      <w:bookmarkEnd w:id="0"/>
      <w:r>
        <w:t xml:space="preserve">Přehled transferů jiným organizacím v letech 2014 – 2017 včetně schváleného rozpočtu na rok 2013 </w:t>
      </w:r>
    </w:p>
    <w:p w:rsidR="00101F9E" w:rsidRDefault="00101F9E" w:rsidP="00101F9E">
      <w:pPr>
        <w:pStyle w:val="vlevo"/>
        <w:ind w:left="1418" w:hanging="1418"/>
      </w:pPr>
      <w:r>
        <w:t>Příloha č. 1</w:t>
      </w:r>
      <w:r w:rsidR="00BF5532">
        <w:t>1</w:t>
      </w:r>
      <w:r>
        <w:tab/>
      </w:r>
      <w:r w:rsidRPr="00710460">
        <w:t>–</w:t>
      </w:r>
      <w:r>
        <w:tab/>
        <w:t xml:space="preserve">Usnesení Finančního výboru ZMP ve věci rozpočtu města Plzně na rok 2014 včetně rozpočtového výhledu 2015 – 2017 (bude předloženo na stůl) </w:t>
      </w:r>
    </w:p>
    <w:p w:rsidR="00841640" w:rsidRDefault="00841640" w:rsidP="00101F9E">
      <w:pPr>
        <w:pStyle w:val="vlevo"/>
      </w:pPr>
    </w:p>
    <w:sectPr w:rsidR="0084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55F"/>
    <w:multiLevelType w:val="hybridMultilevel"/>
    <w:tmpl w:val="D2E2C764"/>
    <w:lvl w:ilvl="0" w:tplc="EBA841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2C07"/>
    <w:multiLevelType w:val="hybridMultilevel"/>
    <w:tmpl w:val="E954FA7C"/>
    <w:lvl w:ilvl="0" w:tplc="582863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52E16"/>
    <w:multiLevelType w:val="hybridMultilevel"/>
    <w:tmpl w:val="42FE999E"/>
    <w:lvl w:ilvl="0" w:tplc="A662717C">
      <w:start w:val="2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C75224A"/>
    <w:multiLevelType w:val="hybridMultilevel"/>
    <w:tmpl w:val="7C7403AA"/>
    <w:lvl w:ilvl="0" w:tplc="CA7CB050">
      <w:start w:val="1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A3641"/>
    <w:multiLevelType w:val="singleLevel"/>
    <w:tmpl w:val="F32A4C1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491FB1"/>
    <w:multiLevelType w:val="hybridMultilevel"/>
    <w:tmpl w:val="EAB48526"/>
    <w:lvl w:ilvl="0" w:tplc="F4AA9EEA">
      <w:start w:val="6"/>
      <w:numFmt w:val="bullet"/>
      <w:lvlText w:val="-"/>
      <w:lvlJc w:val="left"/>
      <w:pPr>
        <w:tabs>
          <w:tab w:val="num" w:pos="6390"/>
        </w:tabs>
        <w:ind w:left="63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6">
    <w:nsid w:val="18761B80"/>
    <w:multiLevelType w:val="hybridMultilevel"/>
    <w:tmpl w:val="DDA46B60"/>
    <w:lvl w:ilvl="0" w:tplc="582863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A3C77"/>
    <w:multiLevelType w:val="hybridMultilevel"/>
    <w:tmpl w:val="70C4A078"/>
    <w:lvl w:ilvl="0" w:tplc="9A80CECE">
      <w:start w:val="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27644FA6"/>
    <w:multiLevelType w:val="hybridMultilevel"/>
    <w:tmpl w:val="C052BE2E"/>
    <w:lvl w:ilvl="0" w:tplc="6226D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54CD1"/>
    <w:multiLevelType w:val="hybridMultilevel"/>
    <w:tmpl w:val="FDEE50C4"/>
    <w:lvl w:ilvl="0" w:tplc="B2CE006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93152DA"/>
    <w:multiLevelType w:val="hybridMultilevel"/>
    <w:tmpl w:val="EE1AF76A"/>
    <w:lvl w:ilvl="0" w:tplc="01B83BF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91DA6"/>
    <w:multiLevelType w:val="hybridMultilevel"/>
    <w:tmpl w:val="DDA46B60"/>
    <w:lvl w:ilvl="0" w:tplc="582863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6C3FE1"/>
    <w:multiLevelType w:val="hybridMultilevel"/>
    <w:tmpl w:val="DDA46B60"/>
    <w:lvl w:ilvl="0" w:tplc="582863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>
      <w:startOverride w:val="4"/>
    </w:lvlOverride>
  </w:num>
  <w:num w:numId="12">
    <w:abstractNumId w:val="3"/>
  </w:num>
  <w:num w:numId="13">
    <w:abstractNumId w:val="10"/>
  </w:num>
  <w:num w:numId="14">
    <w:abstractNumId w:val="5"/>
  </w:num>
  <w:num w:numId="15">
    <w:abstractNumId w:val="7"/>
  </w:num>
  <w:num w:numId="16">
    <w:abstractNumId w:val="8"/>
  </w:num>
  <w:num w:numId="17">
    <w:abstractNumId w:val="2"/>
  </w:num>
  <w:num w:numId="18">
    <w:abstractNumId w:val="4"/>
  </w:num>
  <w:num w:numId="19">
    <w:abstractNumId w:val="11"/>
  </w:num>
  <w:num w:numId="20">
    <w:abstractNumId w:val="12"/>
  </w:num>
  <w:num w:numId="21">
    <w:abstractNumId w:val="6"/>
  </w:num>
  <w:num w:numId="22">
    <w:abstractNumId w:val="1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3D"/>
    <w:rsid w:val="000111EB"/>
    <w:rsid w:val="00014639"/>
    <w:rsid w:val="000216BA"/>
    <w:rsid w:val="00025694"/>
    <w:rsid w:val="00025A0B"/>
    <w:rsid w:val="00033A5A"/>
    <w:rsid w:val="00045283"/>
    <w:rsid w:val="00050EA4"/>
    <w:rsid w:val="00054A6A"/>
    <w:rsid w:val="00077535"/>
    <w:rsid w:val="00082372"/>
    <w:rsid w:val="000A2F0C"/>
    <w:rsid w:val="000C7268"/>
    <w:rsid w:val="000D4868"/>
    <w:rsid w:val="00101F9E"/>
    <w:rsid w:val="0014264D"/>
    <w:rsid w:val="00144DE6"/>
    <w:rsid w:val="0015138C"/>
    <w:rsid w:val="00157E92"/>
    <w:rsid w:val="001969D0"/>
    <w:rsid w:val="001B1224"/>
    <w:rsid w:val="001B5CCB"/>
    <w:rsid w:val="001E195F"/>
    <w:rsid w:val="00211947"/>
    <w:rsid w:val="002135FD"/>
    <w:rsid w:val="00217F35"/>
    <w:rsid w:val="00220765"/>
    <w:rsid w:val="0024223C"/>
    <w:rsid w:val="00274F34"/>
    <w:rsid w:val="00290909"/>
    <w:rsid w:val="002B2601"/>
    <w:rsid w:val="002C5703"/>
    <w:rsid w:val="002E0F88"/>
    <w:rsid w:val="002E73E5"/>
    <w:rsid w:val="00302CD3"/>
    <w:rsid w:val="00304AD3"/>
    <w:rsid w:val="00331212"/>
    <w:rsid w:val="003377C3"/>
    <w:rsid w:val="0034006A"/>
    <w:rsid w:val="00341302"/>
    <w:rsid w:val="00345FD4"/>
    <w:rsid w:val="00362672"/>
    <w:rsid w:val="003962AD"/>
    <w:rsid w:val="003A7F8D"/>
    <w:rsid w:val="003B0343"/>
    <w:rsid w:val="003D473E"/>
    <w:rsid w:val="003E6FE3"/>
    <w:rsid w:val="004012DE"/>
    <w:rsid w:val="00401609"/>
    <w:rsid w:val="00414C07"/>
    <w:rsid w:val="00416C1F"/>
    <w:rsid w:val="00421104"/>
    <w:rsid w:val="0043281F"/>
    <w:rsid w:val="004474E4"/>
    <w:rsid w:val="004741A3"/>
    <w:rsid w:val="004905A2"/>
    <w:rsid w:val="004A03A1"/>
    <w:rsid w:val="004B4442"/>
    <w:rsid w:val="004D1DF7"/>
    <w:rsid w:val="004D3F20"/>
    <w:rsid w:val="004E6738"/>
    <w:rsid w:val="004F2EBE"/>
    <w:rsid w:val="005245E8"/>
    <w:rsid w:val="005259C7"/>
    <w:rsid w:val="005522B5"/>
    <w:rsid w:val="0057372B"/>
    <w:rsid w:val="005758C7"/>
    <w:rsid w:val="00596190"/>
    <w:rsid w:val="005A3CC1"/>
    <w:rsid w:val="005A40F9"/>
    <w:rsid w:val="005C053D"/>
    <w:rsid w:val="005D36B5"/>
    <w:rsid w:val="00602F51"/>
    <w:rsid w:val="006045A3"/>
    <w:rsid w:val="00623032"/>
    <w:rsid w:val="006675E6"/>
    <w:rsid w:val="00693C81"/>
    <w:rsid w:val="006F5FAD"/>
    <w:rsid w:val="00710460"/>
    <w:rsid w:val="007120D7"/>
    <w:rsid w:val="00742B6A"/>
    <w:rsid w:val="0076436A"/>
    <w:rsid w:val="007816D9"/>
    <w:rsid w:val="007863CD"/>
    <w:rsid w:val="007D0304"/>
    <w:rsid w:val="007D5A55"/>
    <w:rsid w:val="008364A9"/>
    <w:rsid w:val="00841640"/>
    <w:rsid w:val="00845D5F"/>
    <w:rsid w:val="00865430"/>
    <w:rsid w:val="008730A2"/>
    <w:rsid w:val="008751EA"/>
    <w:rsid w:val="008D1F0F"/>
    <w:rsid w:val="008D7966"/>
    <w:rsid w:val="008E5165"/>
    <w:rsid w:val="0092689C"/>
    <w:rsid w:val="009801D1"/>
    <w:rsid w:val="00983986"/>
    <w:rsid w:val="009873E3"/>
    <w:rsid w:val="0099365E"/>
    <w:rsid w:val="0099509C"/>
    <w:rsid w:val="009976D9"/>
    <w:rsid w:val="009C3DB7"/>
    <w:rsid w:val="009C655C"/>
    <w:rsid w:val="009E3664"/>
    <w:rsid w:val="009E79B3"/>
    <w:rsid w:val="009F3CD4"/>
    <w:rsid w:val="009F42FD"/>
    <w:rsid w:val="00A0654D"/>
    <w:rsid w:val="00A111BF"/>
    <w:rsid w:val="00A15DEA"/>
    <w:rsid w:val="00A21931"/>
    <w:rsid w:val="00A374D6"/>
    <w:rsid w:val="00A44DFF"/>
    <w:rsid w:val="00A6335C"/>
    <w:rsid w:val="00A75C22"/>
    <w:rsid w:val="00A817B6"/>
    <w:rsid w:val="00A81D3A"/>
    <w:rsid w:val="00A94BB6"/>
    <w:rsid w:val="00A95CBC"/>
    <w:rsid w:val="00A96A66"/>
    <w:rsid w:val="00AA7953"/>
    <w:rsid w:val="00AB7682"/>
    <w:rsid w:val="00AD1659"/>
    <w:rsid w:val="00AF33F4"/>
    <w:rsid w:val="00B04E91"/>
    <w:rsid w:val="00B25653"/>
    <w:rsid w:val="00B54337"/>
    <w:rsid w:val="00B60F1E"/>
    <w:rsid w:val="00B63D74"/>
    <w:rsid w:val="00B860D5"/>
    <w:rsid w:val="00BB2E4F"/>
    <w:rsid w:val="00BC5C6B"/>
    <w:rsid w:val="00BF5532"/>
    <w:rsid w:val="00C14B08"/>
    <w:rsid w:val="00C16E00"/>
    <w:rsid w:val="00C20032"/>
    <w:rsid w:val="00C56FE7"/>
    <w:rsid w:val="00C571ED"/>
    <w:rsid w:val="00C6404C"/>
    <w:rsid w:val="00C71172"/>
    <w:rsid w:val="00C82C3A"/>
    <w:rsid w:val="00CB03CE"/>
    <w:rsid w:val="00CD0343"/>
    <w:rsid w:val="00CE070A"/>
    <w:rsid w:val="00CE14E2"/>
    <w:rsid w:val="00CE2DD9"/>
    <w:rsid w:val="00CE3EEC"/>
    <w:rsid w:val="00D02C05"/>
    <w:rsid w:val="00D2189F"/>
    <w:rsid w:val="00D57C8D"/>
    <w:rsid w:val="00D657F8"/>
    <w:rsid w:val="00D74361"/>
    <w:rsid w:val="00D90EFC"/>
    <w:rsid w:val="00DA1779"/>
    <w:rsid w:val="00DB2929"/>
    <w:rsid w:val="00DD5134"/>
    <w:rsid w:val="00DE128D"/>
    <w:rsid w:val="00DF43BE"/>
    <w:rsid w:val="00DF747F"/>
    <w:rsid w:val="00E00FA2"/>
    <w:rsid w:val="00E2746A"/>
    <w:rsid w:val="00E354FE"/>
    <w:rsid w:val="00E55371"/>
    <w:rsid w:val="00E57913"/>
    <w:rsid w:val="00E7018E"/>
    <w:rsid w:val="00E90A21"/>
    <w:rsid w:val="00E97ACA"/>
    <w:rsid w:val="00EA284B"/>
    <w:rsid w:val="00EA2909"/>
    <w:rsid w:val="00EB71B9"/>
    <w:rsid w:val="00EC69CA"/>
    <w:rsid w:val="00ED758A"/>
    <w:rsid w:val="00EE68F0"/>
    <w:rsid w:val="00EE7B06"/>
    <w:rsid w:val="00EF66AC"/>
    <w:rsid w:val="00F01226"/>
    <w:rsid w:val="00F030D7"/>
    <w:rsid w:val="00F5734C"/>
    <w:rsid w:val="00FB05F1"/>
    <w:rsid w:val="00FC2AB7"/>
    <w:rsid w:val="00F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101F9E"/>
    <w:pPr>
      <w:tabs>
        <w:tab w:val="left" w:pos="1276"/>
        <w:tab w:val="left" w:pos="1440"/>
        <w:tab w:val="right" w:pos="6840"/>
      </w:tabs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9"/>
      </w:numPr>
      <w:spacing w:before="120" w:after="120"/>
    </w:pPr>
    <w:rPr>
      <w:b/>
      <w:spacing w:val="22"/>
      <w:szCs w:val="20"/>
    </w:rPr>
  </w:style>
  <w:style w:type="paragraph" w:customStyle="1" w:styleId="Paragrafneslovan">
    <w:name w:val="Paragraf nečíslovaný"/>
    <w:basedOn w:val="Normln"/>
    <w:autoRedefine/>
    <w:rsid w:val="00A21931"/>
    <w:pPr>
      <w:jc w:val="both"/>
    </w:pPr>
    <w:rPr>
      <w:szCs w:val="20"/>
      <w:u w:val="single"/>
    </w:rPr>
  </w:style>
  <w:style w:type="table" w:styleId="Mkatabulky">
    <w:name w:val="Table Grid"/>
    <w:basedOn w:val="Normlntabulka"/>
    <w:rsid w:val="00987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AB7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101F9E"/>
    <w:pPr>
      <w:tabs>
        <w:tab w:val="left" w:pos="1276"/>
        <w:tab w:val="left" w:pos="1440"/>
        <w:tab w:val="right" w:pos="6840"/>
      </w:tabs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9"/>
      </w:numPr>
      <w:spacing w:before="120" w:after="120"/>
    </w:pPr>
    <w:rPr>
      <w:b/>
      <w:spacing w:val="22"/>
      <w:szCs w:val="20"/>
    </w:rPr>
  </w:style>
  <w:style w:type="paragraph" w:customStyle="1" w:styleId="Paragrafneslovan">
    <w:name w:val="Paragraf nečíslovaný"/>
    <w:basedOn w:val="Normln"/>
    <w:autoRedefine/>
    <w:rsid w:val="00A21931"/>
    <w:pPr>
      <w:jc w:val="both"/>
    </w:pPr>
    <w:rPr>
      <w:szCs w:val="20"/>
      <w:u w:val="single"/>
    </w:rPr>
  </w:style>
  <w:style w:type="table" w:styleId="Mkatabulky">
    <w:name w:val="Table Grid"/>
    <w:basedOn w:val="Normlntabulka"/>
    <w:rsid w:val="00987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AB7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uvodova%20zpra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160F-5693-4376-9E42-914A8EB2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Duvodova zprava.dot</Template>
  <TotalTime>88</TotalTime>
  <Pages>3</Pages>
  <Words>1147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Michal Beránek</dc:creator>
  <cp:lastModifiedBy>Dezortová Petra</cp:lastModifiedBy>
  <cp:revision>10</cp:revision>
  <cp:lastPrinted>2013-11-26T06:39:00Z</cp:lastPrinted>
  <dcterms:created xsi:type="dcterms:W3CDTF">2013-11-28T12:25:00Z</dcterms:created>
  <dcterms:modified xsi:type="dcterms:W3CDTF">2013-12-03T06:59:00Z</dcterms:modified>
</cp:coreProperties>
</file>