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4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5174"/>
      </w:tblGrid>
      <w:tr w:rsidR="00EC2D18" w:rsidTr="00EB0844">
        <w:trPr>
          <w:trHeight w:val="284"/>
        </w:trPr>
        <w:tc>
          <w:tcPr>
            <w:tcW w:w="3521" w:type="dxa"/>
          </w:tcPr>
          <w:p w:rsidR="00EC2D18" w:rsidRDefault="00EC2D18" w:rsidP="00EB0844">
            <w:pPr>
              <w:rPr>
                <w:b/>
              </w:rPr>
            </w:pPr>
            <w:bookmarkStart w:id="0" w:name="Text1"/>
            <w:bookmarkStart w:id="1" w:name="Text2"/>
            <w:bookmarkStart w:id="2" w:name="Text5"/>
          </w:p>
        </w:tc>
        <w:bookmarkEnd w:id="0"/>
        <w:bookmarkEnd w:id="1"/>
        <w:bookmarkEnd w:id="2"/>
        <w:tc>
          <w:tcPr>
            <w:tcW w:w="5174" w:type="dxa"/>
          </w:tcPr>
          <w:p w:rsidR="00EC2D18" w:rsidRDefault="00EC2D18" w:rsidP="00EB0844">
            <w:pPr>
              <w:jc w:val="right"/>
              <w:rPr>
                <w:b/>
              </w:rPr>
            </w:pPr>
          </w:p>
        </w:tc>
      </w:tr>
    </w:tbl>
    <w:p w:rsidR="00B9470F" w:rsidRDefault="00174B46" w:rsidP="00174B46">
      <w:pPr>
        <w:pStyle w:val="Nadpis1"/>
        <w:tabs>
          <w:tab w:val="left" w:pos="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 ů v o d o v á    z p r á v</w:t>
      </w:r>
      <w:r w:rsidR="006F6F1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13030A" w:rsidRPr="00071A4D" w:rsidRDefault="0013030A" w:rsidP="0013030A">
      <w:pPr>
        <w:numPr>
          <w:ilvl w:val="0"/>
          <w:numId w:val="2"/>
        </w:numPr>
        <w:spacing w:before="240" w:after="240"/>
        <w:ind w:left="0" w:firstLine="0"/>
        <w:jc w:val="both"/>
        <w:rPr>
          <w:b/>
          <w:noProof/>
          <w:szCs w:val="20"/>
        </w:rPr>
      </w:pPr>
      <w:r w:rsidRPr="0013030A">
        <w:rPr>
          <w:b/>
          <w:spacing w:val="22"/>
          <w:szCs w:val="20"/>
        </w:rPr>
        <w:t>Název problému a jeho charakteristika</w:t>
      </w:r>
    </w:p>
    <w:p w:rsidR="0013030A" w:rsidRDefault="00174B46" w:rsidP="00071A4D">
      <w:pPr>
        <w:pStyle w:val="vlevo"/>
        <w:rPr>
          <w:noProof/>
          <w:szCs w:val="20"/>
        </w:rPr>
      </w:pPr>
      <w:r w:rsidRPr="00174B46">
        <w:rPr>
          <w:noProof/>
          <w:szCs w:val="20"/>
        </w:rPr>
        <w:t xml:space="preserve">Plán investiční výstavby MO Plzeň 2 – Slovany v MŠ na rok 2014  </w:t>
      </w:r>
    </w:p>
    <w:p w:rsidR="00174B46" w:rsidRPr="00071A4D" w:rsidRDefault="00174B46" w:rsidP="00071A4D">
      <w:pPr>
        <w:pStyle w:val="vlevo"/>
        <w:rPr>
          <w:b/>
        </w:rPr>
      </w:pPr>
    </w:p>
    <w:p w:rsidR="0013030A" w:rsidRPr="00071A4D" w:rsidRDefault="0013030A" w:rsidP="00071A4D">
      <w:pPr>
        <w:pStyle w:val="vlevo"/>
        <w:numPr>
          <w:ilvl w:val="0"/>
          <w:numId w:val="2"/>
        </w:numPr>
        <w:rPr>
          <w:b/>
        </w:rPr>
      </w:pPr>
      <w:r w:rsidRPr="00071A4D">
        <w:rPr>
          <w:b/>
        </w:rPr>
        <w:t>Konstatování současného stavu a jeho analýza</w:t>
      </w:r>
    </w:p>
    <w:p w:rsidR="00071A4D" w:rsidRPr="00071A4D" w:rsidRDefault="00071A4D" w:rsidP="00071A4D">
      <w:pPr>
        <w:pStyle w:val="vlevo"/>
        <w:rPr>
          <w:b/>
        </w:rPr>
      </w:pPr>
    </w:p>
    <w:p w:rsidR="005868EA" w:rsidRDefault="0013030A" w:rsidP="0013030A">
      <w:pPr>
        <w:jc w:val="both"/>
      </w:pPr>
      <w:r>
        <w:t>Pro rok 201</w:t>
      </w:r>
      <w:r w:rsidR="005868EA">
        <w:t>4</w:t>
      </w:r>
      <w:r>
        <w:t xml:space="preserve"> se v rozpočtu MO Plzeň 2 – Slovany počítá pro MŠ s</w:t>
      </w:r>
      <w:r w:rsidR="00AC0B53">
        <w:t xml:space="preserve"> investičními prostředky na akc</w:t>
      </w:r>
      <w:r w:rsidR="005868EA">
        <w:t>e:</w:t>
      </w:r>
    </w:p>
    <w:p w:rsidR="00AC0B53" w:rsidRDefault="00AC0B53" w:rsidP="0013030A">
      <w:pPr>
        <w:jc w:val="both"/>
      </w:pPr>
      <w:r>
        <w:t>Projektová dokumentace:</w:t>
      </w:r>
    </w:p>
    <w:p w:rsidR="005868EA" w:rsidRDefault="00AC0B53" w:rsidP="00AC0B53">
      <w:pPr>
        <w:numPr>
          <w:ilvl w:val="0"/>
          <w:numId w:val="4"/>
        </w:numPr>
        <w:jc w:val="both"/>
      </w:pPr>
      <w:r w:rsidRPr="00AC0B53">
        <w:t>PD rekolaudace budovy</w:t>
      </w:r>
      <w:r>
        <w:t xml:space="preserve"> </w:t>
      </w:r>
      <w:r w:rsidR="005868EA">
        <w:t>51. MŠ Částkova 6 –</w:t>
      </w:r>
      <w:r>
        <w:t xml:space="preserve">         </w:t>
      </w:r>
      <w:r>
        <w:tab/>
      </w:r>
      <w:r>
        <w:tab/>
        <w:t>0, 078 </w:t>
      </w:r>
      <w:proofErr w:type="spellStart"/>
      <w:proofErr w:type="gramStart"/>
      <w:r>
        <w:t>mil.Kč</w:t>
      </w:r>
      <w:proofErr w:type="spellEnd"/>
      <w:proofErr w:type="gramEnd"/>
    </w:p>
    <w:p w:rsidR="00AC0B53" w:rsidRPr="00AC0B53" w:rsidRDefault="00AC0B53" w:rsidP="00AC0B53">
      <w:pPr>
        <w:numPr>
          <w:ilvl w:val="0"/>
          <w:numId w:val="4"/>
        </w:numPr>
      </w:pPr>
      <w:r w:rsidRPr="00AC0B53">
        <w:t xml:space="preserve">PD rekolaudace budovy </w:t>
      </w:r>
      <w:r>
        <w:t>2</w:t>
      </w:r>
      <w:r w:rsidRPr="00AC0B53">
        <w:t xml:space="preserve">1. MŠ </w:t>
      </w:r>
      <w:r w:rsidR="0031446F">
        <w:t xml:space="preserve">Na </w:t>
      </w:r>
      <w:proofErr w:type="spellStart"/>
      <w:r w:rsidR="0031446F">
        <w:t>Celchu</w:t>
      </w:r>
      <w:proofErr w:type="spellEnd"/>
      <w:r w:rsidR="0031446F">
        <w:t xml:space="preserve"> 33</w:t>
      </w:r>
      <w:r w:rsidRPr="00AC0B53">
        <w:t xml:space="preserve"> –         </w:t>
      </w:r>
      <w:r>
        <w:tab/>
      </w:r>
      <w:r w:rsidRPr="00AC0B53">
        <w:t>0, 07</w:t>
      </w:r>
      <w:r>
        <w:t>5</w:t>
      </w:r>
      <w:r w:rsidRPr="00AC0B53">
        <w:t xml:space="preserve"> </w:t>
      </w:r>
      <w:proofErr w:type="spellStart"/>
      <w:proofErr w:type="gramStart"/>
      <w:r w:rsidRPr="00AC0B53">
        <w:t>mil.Kč</w:t>
      </w:r>
      <w:proofErr w:type="spellEnd"/>
      <w:proofErr w:type="gramEnd"/>
    </w:p>
    <w:p w:rsidR="00AC0B53" w:rsidRPr="00AC0B53" w:rsidRDefault="00AC0B53" w:rsidP="00AC0B53">
      <w:pPr>
        <w:numPr>
          <w:ilvl w:val="0"/>
          <w:numId w:val="4"/>
        </w:numPr>
      </w:pPr>
      <w:r>
        <w:t>PD rekolaudace budovy 38</w:t>
      </w:r>
      <w:r w:rsidRPr="00AC0B53">
        <w:t xml:space="preserve">. MŠ </w:t>
      </w:r>
      <w:r w:rsidR="0031446F">
        <w:t>Spojovací 14</w:t>
      </w:r>
      <w:r w:rsidRPr="00AC0B53">
        <w:t xml:space="preserve"> –       </w:t>
      </w:r>
      <w:r w:rsidR="0031446F">
        <w:t xml:space="preserve">           </w:t>
      </w:r>
      <w:r w:rsidRPr="00AC0B53">
        <w:t>0, 07</w:t>
      </w:r>
      <w:r>
        <w:t>5</w:t>
      </w:r>
      <w:r w:rsidRPr="00AC0B53">
        <w:t xml:space="preserve"> </w:t>
      </w:r>
      <w:proofErr w:type="spellStart"/>
      <w:proofErr w:type="gramStart"/>
      <w:r w:rsidRPr="00AC0B53">
        <w:t>mil.Kč</w:t>
      </w:r>
      <w:proofErr w:type="spellEnd"/>
      <w:proofErr w:type="gramEnd"/>
    </w:p>
    <w:p w:rsidR="00EB0844" w:rsidRDefault="00EB0844" w:rsidP="00AC0B53">
      <w:pPr>
        <w:jc w:val="both"/>
      </w:pPr>
      <w:r>
        <w:t xml:space="preserve">Rekolaudace je nutno u výše uvedených mateřských škol provést z důvodu, že byly tyto budovy kolaudovány jako jesle a před cca 20 lety, kdy se </w:t>
      </w:r>
      <w:proofErr w:type="gramStart"/>
      <w:r>
        <w:t>začaly</w:t>
      </w:r>
      <w:proofErr w:type="gramEnd"/>
      <w:r>
        <w:t xml:space="preserve"> využívat pro MŠ </w:t>
      </w:r>
      <w:proofErr w:type="gramStart"/>
      <w:r>
        <w:t>nebyla</w:t>
      </w:r>
      <w:proofErr w:type="gramEnd"/>
      <w:r>
        <w:t xml:space="preserve"> provedena změna užívání (rekolaudace).</w:t>
      </w:r>
    </w:p>
    <w:p w:rsidR="00EB0844" w:rsidRDefault="00EB0844" w:rsidP="00AC0B53">
      <w:pPr>
        <w:jc w:val="both"/>
      </w:pPr>
    </w:p>
    <w:p w:rsidR="00AC0B53" w:rsidRDefault="00CA365D" w:rsidP="00AC0B53">
      <w:pPr>
        <w:jc w:val="both"/>
      </w:pPr>
      <w:r>
        <w:t>Stavby - r</w:t>
      </w:r>
      <w:r w:rsidR="00AC0B53">
        <w:t xml:space="preserve">ealizace: </w:t>
      </w:r>
    </w:p>
    <w:p w:rsidR="00AC0B53" w:rsidRDefault="00697144" w:rsidP="00AC0B53">
      <w:pPr>
        <w:ind w:firstLine="375"/>
        <w:jc w:val="both"/>
      </w:pPr>
      <w:r>
        <w:t xml:space="preserve">1. </w:t>
      </w:r>
      <w:r w:rsidR="00AC0B53">
        <w:t>Stavební p</w:t>
      </w:r>
      <w:r w:rsidR="00277157">
        <w:t>r</w:t>
      </w:r>
      <w:r w:rsidR="00AC0B53">
        <w:t>áce -</w:t>
      </w:r>
      <w:r w:rsidR="00277157">
        <w:t xml:space="preserve"> </w:t>
      </w:r>
      <w:r w:rsidR="00AC0B53" w:rsidRPr="00AC0B53">
        <w:t xml:space="preserve">rekolaudace budovy 51. MŠ Částkova 6        </w:t>
      </w:r>
      <w:r w:rsidR="00AC0B53">
        <w:t xml:space="preserve"> 1</w:t>
      </w:r>
      <w:r w:rsidR="00AC0B53" w:rsidRPr="00AC0B53">
        <w:t>,</w:t>
      </w:r>
      <w:r w:rsidR="00AC0B53">
        <w:t>500</w:t>
      </w:r>
      <w:r w:rsidR="00AC0B53" w:rsidRPr="00AC0B53">
        <w:t xml:space="preserve"> </w:t>
      </w:r>
      <w:proofErr w:type="spellStart"/>
      <w:proofErr w:type="gramStart"/>
      <w:r w:rsidR="00AC0B53" w:rsidRPr="00AC0B53">
        <w:t>mil.Kč</w:t>
      </w:r>
      <w:proofErr w:type="spellEnd"/>
      <w:proofErr w:type="gramEnd"/>
    </w:p>
    <w:p w:rsidR="00AC0B53" w:rsidRDefault="00697144" w:rsidP="00AC0B53">
      <w:pPr>
        <w:ind w:firstLine="375"/>
        <w:jc w:val="both"/>
      </w:pPr>
      <w:r>
        <w:t xml:space="preserve">2. </w:t>
      </w:r>
      <w:r w:rsidR="00AC0B53">
        <w:t>Výstavba nové MŠ (14mil. MMP, 7 mil. MO P2)</w:t>
      </w:r>
      <w:r w:rsidR="00AC0B53">
        <w:tab/>
        <w:t xml:space="preserve">       </w:t>
      </w:r>
      <w:r>
        <w:t xml:space="preserve">    </w:t>
      </w:r>
      <w:r w:rsidR="00AC0B53">
        <w:t xml:space="preserve">   21,000 </w:t>
      </w:r>
      <w:proofErr w:type="spellStart"/>
      <w:r w:rsidR="00AC0B53">
        <w:t>mil.Kč</w:t>
      </w:r>
      <w:proofErr w:type="spellEnd"/>
      <w:r>
        <w:t>*</w:t>
      </w:r>
    </w:p>
    <w:p w:rsidR="00697144" w:rsidRDefault="00697144" w:rsidP="00AC0B53">
      <w:pPr>
        <w:ind w:firstLine="375"/>
        <w:jc w:val="both"/>
      </w:pPr>
      <w:r>
        <w:t xml:space="preserve">     *2/3 hrazeny z rozpočtu MMP, 1/3 hrazena z rozpočtu MO P2</w:t>
      </w:r>
    </w:p>
    <w:p w:rsidR="0013030A" w:rsidRDefault="0013030A" w:rsidP="0013030A">
      <w:pPr>
        <w:jc w:val="both"/>
      </w:pPr>
    </w:p>
    <w:p w:rsidR="0013030A" w:rsidRDefault="0013030A" w:rsidP="00071A4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Předpokládaný cílový stav</w:t>
      </w:r>
    </w:p>
    <w:p w:rsidR="00EB0844" w:rsidRDefault="00EB0844" w:rsidP="00EB0844">
      <w:pPr>
        <w:ind w:left="375"/>
        <w:jc w:val="both"/>
        <w:rPr>
          <w:b/>
        </w:rPr>
      </w:pPr>
    </w:p>
    <w:p w:rsidR="0013030A" w:rsidRDefault="00174B46" w:rsidP="00071A4D">
      <w:pPr>
        <w:pStyle w:val="vlevo"/>
      </w:pPr>
      <w:r>
        <w:t xml:space="preserve">Schválení </w:t>
      </w:r>
      <w:r w:rsidR="0013030A" w:rsidRPr="00071A4D">
        <w:t xml:space="preserve">plánu investiční činnosti v budovách mateřských škol na rok </w:t>
      </w:r>
      <w:r>
        <w:t>2014</w:t>
      </w:r>
      <w:r w:rsidR="0013030A" w:rsidRPr="00071A4D">
        <w:t>.</w:t>
      </w:r>
    </w:p>
    <w:p w:rsidR="00277157" w:rsidRDefault="00277157" w:rsidP="006F6F1A">
      <w:pPr>
        <w:numPr>
          <w:ilvl w:val="0"/>
          <w:numId w:val="2"/>
        </w:numPr>
        <w:spacing w:before="240" w:after="240"/>
        <w:ind w:left="0" w:firstLine="0"/>
        <w:rPr>
          <w:b/>
          <w:spacing w:val="22"/>
          <w:szCs w:val="20"/>
        </w:rPr>
      </w:pPr>
      <w:r>
        <w:rPr>
          <w:b/>
          <w:spacing w:val="22"/>
          <w:szCs w:val="20"/>
        </w:rPr>
        <w:t>Navrhované varianty řešení</w:t>
      </w:r>
      <w:bookmarkStart w:id="3" w:name="_GoBack"/>
      <w:bookmarkEnd w:id="3"/>
    </w:p>
    <w:p w:rsidR="00277157" w:rsidRPr="00277157" w:rsidRDefault="00277157" w:rsidP="00277157">
      <w:pPr>
        <w:spacing w:before="240" w:after="240"/>
        <w:rPr>
          <w:spacing w:val="22"/>
          <w:szCs w:val="20"/>
        </w:rPr>
      </w:pPr>
      <w:r w:rsidRPr="00277157">
        <w:rPr>
          <w:spacing w:val="22"/>
          <w:szCs w:val="20"/>
        </w:rPr>
        <w:t>Viz návrh usnesení</w:t>
      </w:r>
    </w:p>
    <w:p w:rsidR="006F6F1A" w:rsidRPr="006F6F1A" w:rsidRDefault="006F6F1A" w:rsidP="006F6F1A">
      <w:pPr>
        <w:numPr>
          <w:ilvl w:val="0"/>
          <w:numId w:val="2"/>
        </w:numPr>
        <w:spacing w:before="240" w:after="240"/>
        <w:ind w:left="0" w:firstLine="0"/>
        <w:rPr>
          <w:b/>
          <w:spacing w:val="22"/>
          <w:szCs w:val="20"/>
        </w:rPr>
      </w:pPr>
      <w:r w:rsidRPr="006F6F1A">
        <w:rPr>
          <w:b/>
          <w:spacing w:val="22"/>
          <w:szCs w:val="20"/>
        </w:rPr>
        <w:t>Doporučená varianta řešení</w:t>
      </w:r>
    </w:p>
    <w:p w:rsidR="006F6F1A" w:rsidRPr="006F6F1A" w:rsidRDefault="006F6F1A" w:rsidP="006F6F1A">
      <w:pPr>
        <w:jc w:val="both"/>
        <w:rPr>
          <w:szCs w:val="20"/>
        </w:rPr>
      </w:pPr>
      <w:r w:rsidRPr="006F6F1A">
        <w:rPr>
          <w:szCs w:val="20"/>
        </w:rPr>
        <w:t xml:space="preserve">RMO Plzeň 2 – Slovany souhlasí s Plánem investiční </w:t>
      </w:r>
      <w:r>
        <w:rPr>
          <w:szCs w:val="20"/>
        </w:rPr>
        <w:t>činnosti v </w:t>
      </w:r>
      <w:proofErr w:type="gramStart"/>
      <w:r>
        <w:rPr>
          <w:szCs w:val="20"/>
        </w:rPr>
        <w:t xml:space="preserve">budovách </w:t>
      </w:r>
      <w:r w:rsidRPr="006F6F1A">
        <w:rPr>
          <w:szCs w:val="20"/>
        </w:rPr>
        <w:t xml:space="preserve"> MŠ</w:t>
      </w:r>
      <w:proofErr w:type="gramEnd"/>
      <w:r>
        <w:rPr>
          <w:szCs w:val="20"/>
        </w:rPr>
        <w:t xml:space="preserve"> ve správě </w:t>
      </w:r>
      <w:r w:rsidRPr="006F6F1A">
        <w:rPr>
          <w:szCs w:val="20"/>
        </w:rPr>
        <w:t xml:space="preserve"> MO Plzeň 2 – Slovany pro rok 2014 dle </w:t>
      </w:r>
      <w:r>
        <w:rPr>
          <w:szCs w:val="20"/>
        </w:rPr>
        <w:t xml:space="preserve"> bodu II. usnesení </w:t>
      </w:r>
      <w:r w:rsidRPr="006F6F1A">
        <w:rPr>
          <w:szCs w:val="20"/>
        </w:rPr>
        <w:t xml:space="preserve"> a doporučuje jej ZMO Plzeň 2 – Slovany schválit – viz </w:t>
      </w:r>
      <w:proofErr w:type="spellStart"/>
      <w:r w:rsidRPr="006F6F1A">
        <w:rPr>
          <w:szCs w:val="20"/>
        </w:rPr>
        <w:t>usn</w:t>
      </w:r>
      <w:proofErr w:type="spellEnd"/>
      <w:r w:rsidRPr="006F6F1A">
        <w:rPr>
          <w:szCs w:val="20"/>
        </w:rPr>
        <w:t xml:space="preserve">. č. …/14. </w:t>
      </w:r>
    </w:p>
    <w:p w:rsidR="006F6F1A" w:rsidRPr="006F6F1A" w:rsidRDefault="006F6F1A" w:rsidP="006F6F1A">
      <w:pPr>
        <w:numPr>
          <w:ilvl w:val="0"/>
          <w:numId w:val="2"/>
        </w:numPr>
        <w:spacing w:before="240" w:after="240"/>
        <w:ind w:left="0" w:firstLine="0"/>
        <w:rPr>
          <w:b/>
          <w:spacing w:val="22"/>
          <w:szCs w:val="20"/>
        </w:rPr>
      </w:pPr>
      <w:r w:rsidRPr="006F6F1A">
        <w:rPr>
          <w:b/>
          <w:spacing w:val="22"/>
          <w:szCs w:val="20"/>
        </w:rPr>
        <w:t>Finanční nároky řešení a možnosti finančního krytí</w:t>
      </w:r>
    </w:p>
    <w:p w:rsidR="00277157" w:rsidRDefault="00277157" w:rsidP="00277157">
      <w:pPr>
        <w:spacing w:before="240" w:after="240"/>
        <w:jc w:val="both"/>
        <w:rPr>
          <w:szCs w:val="20"/>
        </w:rPr>
      </w:pPr>
      <w:r w:rsidRPr="00277157">
        <w:rPr>
          <w:szCs w:val="20"/>
        </w:rPr>
        <w:t xml:space="preserve">Pro rok 2014 se v rozpočtu MO Plzeň 2 – Slovany počítá pro MŠ s investičními prostředky v celkové výši 8,728 mil. Kč (+ dotace 14 </w:t>
      </w:r>
      <w:proofErr w:type="spellStart"/>
      <w:proofErr w:type="gramStart"/>
      <w:r w:rsidRPr="00277157">
        <w:rPr>
          <w:szCs w:val="20"/>
        </w:rPr>
        <w:t>mil.Kč</w:t>
      </w:r>
      <w:proofErr w:type="spellEnd"/>
      <w:proofErr w:type="gramEnd"/>
      <w:r w:rsidRPr="00277157">
        <w:rPr>
          <w:szCs w:val="20"/>
        </w:rPr>
        <w:t xml:space="preserve"> z rozpočtu města Plzně na výstavbu nové MŠ).</w:t>
      </w:r>
    </w:p>
    <w:p w:rsidR="0013030A" w:rsidRPr="0013030A" w:rsidRDefault="0013030A" w:rsidP="0013030A">
      <w:pPr>
        <w:spacing w:before="240" w:after="240"/>
        <w:rPr>
          <w:b/>
          <w:spacing w:val="22"/>
          <w:szCs w:val="20"/>
        </w:rPr>
      </w:pPr>
      <w:r w:rsidRPr="0013030A">
        <w:rPr>
          <w:b/>
          <w:spacing w:val="22"/>
          <w:szCs w:val="20"/>
        </w:rPr>
        <w:t>7) Návrh termínů realizace a určení zodpovědných pracovníků</w:t>
      </w:r>
    </w:p>
    <w:p w:rsidR="00071A4D" w:rsidRDefault="00EB0844" w:rsidP="0013030A">
      <w:pPr>
        <w:tabs>
          <w:tab w:val="num" w:pos="540"/>
        </w:tabs>
      </w:pPr>
      <w:r>
        <w:rPr>
          <w:szCs w:val="20"/>
        </w:rPr>
        <w:t xml:space="preserve">      </w:t>
      </w:r>
      <w:r w:rsidR="00174B46">
        <w:rPr>
          <w:szCs w:val="20"/>
        </w:rPr>
        <w:t>Viz návrh usnesení</w:t>
      </w:r>
    </w:p>
    <w:sectPr w:rsidR="00071A4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3B" w:rsidRDefault="0002083B">
      <w:r>
        <w:separator/>
      </w:r>
    </w:p>
  </w:endnote>
  <w:endnote w:type="continuationSeparator" w:id="0">
    <w:p w:rsidR="0002083B" w:rsidRDefault="0002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oudy Old Style ATT">
    <w:altName w:val="Georgia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18" w:rsidRDefault="00EC2D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2D18" w:rsidRDefault="00EC2D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18" w:rsidRDefault="00EC2D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7157">
      <w:rPr>
        <w:rStyle w:val="slostrnky"/>
        <w:noProof/>
      </w:rPr>
      <w:t>1</w:t>
    </w:r>
    <w:r>
      <w:rPr>
        <w:rStyle w:val="slostrnky"/>
      </w:rPr>
      <w:fldChar w:fldCharType="end"/>
    </w:r>
  </w:p>
  <w:p w:rsidR="00EC2D18" w:rsidRDefault="00EC2D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3B" w:rsidRDefault="0002083B">
      <w:r>
        <w:separator/>
      </w:r>
    </w:p>
  </w:footnote>
  <w:footnote w:type="continuationSeparator" w:id="0">
    <w:p w:rsidR="0002083B" w:rsidRDefault="0002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4B" w:rsidRPr="00D64F4B" w:rsidRDefault="00D64F4B" w:rsidP="00D64F4B">
    <w:pPr>
      <w:pStyle w:val="Zhlav"/>
      <w:jc w:val="right"/>
      <w:rPr>
        <w:b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9C1"/>
    <w:multiLevelType w:val="hybridMultilevel"/>
    <w:tmpl w:val="8D00A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22FC"/>
    <w:multiLevelType w:val="hybridMultilevel"/>
    <w:tmpl w:val="CBEA6732"/>
    <w:lvl w:ilvl="0" w:tplc="0405000F">
      <w:start w:val="1"/>
      <w:numFmt w:val="decimal"/>
      <w:lvlText w:val="%1."/>
      <w:lvlJc w:val="left"/>
      <w:pPr>
        <w:ind w:left="1095" w:hanging="360"/>
      </w:p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B2012C6"/>
    <w:multiLevelType w:val="singleLevel"/>
    <w:tmpl w:val="1DA4628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62202573"/>
    <w:multiLevelType w:val="hybridMultilevel"/>
    <w:tmpl w:val="5096D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03D52"/>
    <w:multiLevelType w:val="hybridMultilevel"/>
    <w:tmpl w:val="45D2E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D28BA"/>
    <w:multiLevelType w:val="hybridMultilevel"/>
    <w:tmpl w:val="5D40C5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36"/>
    <w:rsid w:val="0002083B"/>
    <w:rsid w:val="00071A4D"/>
    <w:rsid w:val="0007286E"/>
    <w:rsid w:val="000A4D2F"/>
    <w:rsid w:val="000D3C38"/>
    <w:rsid w:val="0013030A"/>
    <w:rsid w:val="00174B46"/>
    <w:rsid w:val="00184FB7"/>
    <w:rsid w:val="00196655"/>
    <w:rsid w:val="001A7700"/>
    <w:rsid w:val="00220607"/>
    <w:rsid w:val="0022479D"/>
    <w:rsid w:val="002410DF"/>
    <w:rsid w:val="00277157"/>
    <w:rsid w:val="002D55E0"/>
    <w:rsid w:val="00312AC4"/>
    <w:rsid w:val="0031446F"/>
    <w:rsid w:val="003612DC"/>
    <w:rsid w:val="00387CDB"/>
    <w:rsid w:val="003A781E"/>
    <w:rsid w:val="003C22C7"/>
    <w:rsid w:val="003D2EAE"/>
    <w:rsid w:val="00442420"/>
    <w:rsid w:val="00461B67"/>
    <w:rsid w:val="00465CA1"/>
    <w:rsid w:val="004A0FB0"/>
    <w:rsid w:val="004C0EF8"/>
    <w:rsid w:val="005868EA"/>
    <w:rsid w:val="00593EDC"/>
    <w:rsid w:val="005A5DAD"/>
    <w:rsid w:val="00616E9D"/>
    <w:rsid w:val="00620392"/>
    <w:rsid w:val="0063563F"/>
    <w:rsid w:val="006429EA"/>
    <w:rsid w:val="00651306"/>
    <w:rsid w:val="00666D14"/>
    <w:rsid w:val="00675578"/>
    <w:rsid w:val="00685FE7"/>
    <w:rsid w:val="00696012"/>
    <w:rsid w:val="00697144"/>
    <w:rsid w:val="006A6D39"/>
    <w:rsid w:val="006D7114"/>
    <w:rsid w:val="006F6F1A"/>
    <w:rsid w:val="007001BB"/>
    <w:rsid w:val="00702F43"/>
    <w:rsid w:val="00723804"/>
    <w:rsid w:val="0072790D"/>
    <w:rsid w:val="00756E72"/>
    <w:rsid w:val="00790670"/>
    <w:rsid w:val="00794216"/>
    <w:rsid w:val="007C1B9E"/>
    <w:rsid w:val="007C2E37"/>
    <w:rsid w:val="007E66D0"/>
    <w:rsid w:val="007F39AE"/>
    <w:rsid w:val="00802F50"/>
    <w:rsid w:val="00841FC2"/>
    <w:rsid w:val="00845C2E"/>
    <w:rsid w:val="00861A30"/>
    <w:rsid w:val="0087144E"/>
    <w:rsid w:val="008718E5"/>
    <w:rsid w:val="00886436"/>
    <w:rsid w:val="008A2BF4"/>
    <w:rsid w:val="008F184A"/>
    <w:rsid w:val="009610B5"/>
    <w:rsid w:val="009B74E3"/>
    <w:rsid w:val="00A369FD"/>
    <w:rsid w:val="00A821B1"/>
    <w:rsid w:val="00AC0B53"/>
    <w:rsid w:val="00B033E0"/>
    <w:rsid w:val="00B23B03"/>
    <w:rsid w:val="00B258F8"/>
    <w:rsid w:val="00B53F15"/>
    <w:rsid w:val="00B9470F"/>
    <w:rsid w:val="00BC64FF"/>
    <w:rsid w:val="00BC717A"/>
    <w:rsid w:val="00BE17F0"/>
    <w:rsid w:val="00BF1CA6"/>
    <w:rsid w:val="00C045C0"/>
    <w:rsid w:val="00C0610D"/>
    <w:rsid w:val="00C55A36"/>
    <w:rsid w:val="00CA365D"/>
    <w:rsid w:val="00CB6AF7"/>
    <w:rsid w:val="00D64F4B"/>
    <w:rsid w:val="00DA2629"/>
    <w:rsid w:val="00E917D4"/>
    <w:rsid w:val="00EB0844"/>
    <w:rsid w:val="00EC2D18"/>
    <w:rsid w:val="00EF7134"/>
    <w:rsid w:val="00F22972"/>
    <w:rsid w:val="00F5672F"/>
    <w:rsid w:val="00F90610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</w:style>
  <w:style w:type="paragraph" w:styleId="Nadpis3">
    <w:name w:val="heading 3"/>
    <w:basedOn w:val="Normln"/>
    <w:next w:val="Normln"/>
    <w:qFormat/>
    <w:pPr>
      <w:keepNext/>
      <w:spacing w:after="120"/>
      <w:jc w:val="center"/>
      <w:outlineLvl w:val="2"/>
    </w:pPr>
    <w:rPr>
      <w:rFonts w:ascii="Frutiger CE 45" w:hAnsi="Frutiger CE 45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Frutiger CE 45" w:hAnsi="Frutiger CE 45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after="120"/>
      <w:ind w:left="426" w:hanging="426"/>
      <w:jc w:val="center"/>
      <w:outlineLvl w:val="4"/>
    </w:pPr>
    <w:rPr>
      <w:rFonts w:ascii="Frutiger CE 45" w:hAnsi="Frutiger CE 4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paragraph" w:customStyle="1" w:styleId="vlevo">
    <w:name w:val="vlevo"/>
    <w:basedOn w:val="Normln"/>
    <w:autoRedefine/>
    <w:rsid w:val="00071A4D"/>
    <w:pPr>
      <w:tabs>
        <w:tab w:val="left" w:pos="1418"/>
        <w:tab w:val="left" w:pos="1701"/>
      </w:tabs>
      <w:jc w:val="both"/>
      <w:outlineLvl w:val="0"/>
    </w:pPr>
  </w:style>
  <w:style w:type="paragraph" w:styleId="Nzev">
    <w:name w:val="Title"/>
    <w:basedOn w:val="Normln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agrafslovan">
    <w:name w:val="Paragraf číslovaný"/>
    <w:basedOn w:val="Normln"/>
    <w:autoRedefine/>
    <w:pPr>
      <w:jc w:val="both"/>
    </w:pPr>
  </w:style>
  <w:style w:type="paragraph" w:styleId="Zkladntext">
    <w:name w:val="Body Text"/>
    <w:basedOn w:val="Normln"/>
    <w:pPr>
      <w:jc w:val="both"/>
    </w:pPr>
    <w:rPr>
      <w:sz w:val="22"/>
      <w:szCs w:val="22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rPr>
      <w:sz w:val="22"/>
      <w:szCs w:val="22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paragraph" w:customStyle="1" w:styleId="Zkladntextodsazen1">
    <w:name w:val="Základní text odsazený1"/>
    <w:basedOn w:val="Normln"/>
    <w:pPr>
      <w:ind w:left="285"/>
    </w:pPr>
    <w:rPr>
      <w:rFonts w:ascii="Frutiger CE 45" w:hAnsi="Frutiger CE 45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paragraph" w:customStyle="1" w:styleId="vlevot">
    <w:name w:val="vlevot"/>
    <w:basedOn w:val="vlevo"/>
    <w:autoRedefine/>
  </w:style>
  <w:style w:type="paragraph" w:customStyle="1" w:styleId="Normln1">
    <w:name w:val="Normální1"/>
    <w:basedOn w:val="Normln"/>
    <w:pPr>
      <w:widowControl w:val="0"/>
      <w:ind w:firstLine="720"/>
    </w:pPr>
    <w:rPr>
      <w:noProof/>
      <w:color w:val="000000"/>
      <w:sz w:val="22"/>
      <w:szCs w:val="22"/>
    </w:rPr>
  </w:style>
  <w:style w:type="character" w:customStyle="1" w:styleId="titul4">
    <w:name w:val="titul 4"/>
    <w:rPr>
      <w:rFonts w:ascii="Century Schoolbook" w:hAnsi="Century Schoolbook" w:cs="Century Schoolbook"/>
      <w:b/>
      <w:bCs/>
      <w:sz w:val="24"/>
      <w:szCs w:val="24"/>
    </w:rPr>
  </w:style>
  <w:style w:type="paragraph" w:styleId="Zkladntextodsazen2">
    <w:name w:val="Body Text Indent 2"/>
    <w:basedOn w:val="Normln"/>
    <w:pPr>
      <w:spacing w:after="120"/>
      <w:ind w:left="1440" w:hanging="447"/>
      <w:jc w:val="both"/>
    </w:pPr>
    <w:rPr>
      <w:rFonts w:ascii="Frutiger CE 45" w:hAnsi="Frutiger CE 45"/>
      <w:spacing w:val="-2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</w:rPr>
  </w:style>
  <w:style w:type="character" w:styleId="Znakapoznpodarou">
    <w:name w:val="footnote reference"/>
    <w:semiHidden/>
    <w:rPr>
      <w:rFonts w:ascii="Times New Roman" w:hAnsi="Times New Roman" w:cs="Times New Roman"/>
      <w:vertAlign w:val="superscript"/>
    </w:rPr>
  </w:style>
  <w:style w:type="paragraph" w:styleId="Textpoznpodarou">
    <w:name w:val="footnote text"/>
    <w:basedOn w:val="Normln"/>
    <w:semiHidden/>
    <w:rPr>
      <w:rFonts w:ascii="Goudy Old Style ATT" w:hAnsi="Goudy Old Style ATT"/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rPr>
      <w:rFonts w:ascii="Times New Roman" w:hAnsi="Times New Roman" w:cs="Times New Roman"/>
    </w:rPr>
  </w:style>
  <w:style w:type="paragraph" w:styleId="Zkladntextodsazen3">
    <w:name w:val="Body Text Indent 3"/>
    <w:basedOn w:val="Normln"/>
    <w:pPr>
      <w:ind w:firstLine="360"/>
      <w:jc w:val="both"/>
    </w:p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rPr>
      <w:i/>
      <w:iCs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slovan0">
    <w:name w:val="Paragraf èíslovaný"/>
    <w:basedOn w:val="Normln"/>
    <w:rPr>
      <w:szCs w:val="20"/>
    </w:rPr>
  </w:style>
  <w:style w:type="paragraph" w:customStyle="1" w:styleId="Paragrafneslovan">
    <w:name w:val="Paragraf nečíslovaný"/>
    <w:basedOn w:val="Normln"/>
    <w:autoRedefine/>
    <w:rsid w:val="0013030A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13030A"/>
    <w:pPr>
      <w:tabs>
        <w:tab w:val="num" w:pos="360"/>
      </w:tabs>
      <w:spacing w:before="240" w:after="240"/>
    </w:pPr>
    <w:rPr>
      <w:b/>
      <w:spacing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</w:style>
  <w:style w:type="paragraph" w:styleId="Nadpis3">
    <w:name w:val="heading 3"/>
    <w:basedOn w:val="Normln"/>
    <w:next w:val="Normln"/>
    <w:qFormat/>
    <w:pPr>
      <w:keepNext/>
      <w:spacing w:after="120"/>
      <w:jc w:val="center"/>
      <w:outlineLvl w:val="2"/>
    </w:pPr>
    <w:rPr>
      <w:rFonts w:ascii="Frutiger CE 45" w:hAnsi="Frutiger CE 45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Frutiger CE 45" w:hAnsi="Frutiger CE 45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after="120"/>
      <w:ind w:left="426" w:hanging="426"/>
      <w:jc w:val="center"/>
      <w:outlineLvl w:val="4"/>
    </w:pPr>
    <w:rPr>
      <w:rFonts w:ascii="Frutiger CE 45" w:hAnsi="Frutiger CE 4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paragraph" w:customStyle="1" w:styleId="vlevo">
    <w:name w:val="vlevo"/>
    <w:basedOn w:val="Normln"/>
    <w:autoRedefine/>
    <w:rsid w:val="00071A4D"/>
    <w:pPr>
      <w:tabs>
        <w:tab w:val="left" w:pos="1418"/>
        <w:tab w:val="left" w:pos="1701"/>
      </w:tabs>
      <w:jc w:val="both"/>
      <w:outlineLvl w:val="0"/>
    </w:pPr>
  </w:style>
  <w:style w:type="paragraph" w:styleId="Nzev">
    <w:name w:val="Title"/>
    <w:basedOn w:val="Normln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agrafslovan">
    <w:name w:val="Paragraf číslovaný"/>
    <w:basedOn w:val="Normln"/>
    <w:autoRedefine/>
    <w:pPr>
      <w:jc w:val="both"/>
    </w:pPr>
  </w:style>
  <w:style w:type="paragraph" w:styleId="Zkladntext">
    <w:name w:val="Body Text"/>
    <w:basedOn w:val="Normln"/>
    <w:pPr>
      <w:jc w:val="both"/>
    </w:pPr>
    <w:rPr>
      <w:sz w:val="22"/>
      <w:szCs w:val="22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rPr>
      <w:sz w:val="22"/>
      <w:szCs w:val="22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paragraph" w:customStyle="1" w:styleId="Zkladntextodsazen1">
    <w:name w:val="Základní text odsazený1"/>
    <w:basedOn w:val="Normln"/>
    <w:pPr>
      <w:ind w:left="285"/>
    </w:pPr>
    <w:rPr>
      <w:rFonts w:ascii="Frutiger CE 45" w:hAnsi="Frutiger CE 45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paragraph" w:customStyle="1" w:styleId="vlevot">
    <w:name w:val="vlevot"/>
    <w:basedOn w:val="vlevo"/>
    <w:autoRedefine/>
  </w:style>
  <w:style w:type="paragraph" w:customStyle="1" w:styleId="Normln1">
    <w:name w:val="Normální1"/>
    <w:basedOn w:val="Normln"/>
    <w:pPr>
      <w:widowControl w:val="0"/>
      <w:ind w:firstLine="720"/>
    </w:pPr>
    <w:rPr>
      <w:noProof/>
      <w:color w:val="000000"/>
      <w:sz w:val="22"/>
      <w:szCs w:val="22"/>
    </w:rPr>
  </w:style>
  <w:style w:type="character" w:customStyle="1" w:styleId="titul4">
    <w:name w:val="titul 4"/>
    <w:rPr>
      <w:rFonts w:ascii="Century Schoolbook" w:hAnsi="Century Schoolbook" w:cs="Century Schoolbook"/>
      <w:b/>
      <w:bCs/>
      <w:sz w:val="24"/>
      <w:szCs w:val="24"/>
    </w:rPr>
  </w:style>
  <w:style w:type="paragraph" w:styleId="Zkladntextodsazen2">
    <w:name w:val="Body Text Indent 2"/>
    <w:basedOn w:val="Normln"/>
    <w:pPr>
      <w:spacing w:after="120"/>
      <w:ind w:left="1440" w:hanging="447"/>
      <w:jc w:val="both"/>
    </w:pPr>
    <w:rPr>
      <w:rFonts w:ascii="Frutiger CE 45" w:hAnsi="Frutiger CE 45"/>
      <w:spacing w:val="-2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</w:rPr>
  </w:style>
  <w:style w:type="character" w:styleId="Znakapoznpodarou">
    <w:name w:val="footnote reference"/>
    <w:semiHidden/>
    <w:rPr>
      <w:rFonts w:ascii="Times New Roman" w:hAnsi="Times New Roman" w:cs="Times New Roman"/>
      <w:vertAlign w:val="superscript"/>
    </w:rPr>
  </w:style>
  <w:style w:type="paragraph" w:styleId="Textpoznpodarou">
    <w:name w:val="footnote text"/>
    <w:basedOn w:val="Normln"/>
    <w:semiHidden/>
    <w:rPr>
      <w:rFonts w:ascii="Goudy Old Style ATT" w:hAnsi="Goudy Old Style ATT"/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rPr>
      <w:rFonts w:ascii="Times New Roman" w:hAnsi="Times New Roman" w:cs="Times New Roman"/>
    </w:rPr>
  </w:style>
  <w:style w:type="paragraph" w:styleId="Zkladntextodsazen3">
    <w:name w:val="Body Text Indent 3"/>
    <w:basedOn w:val="Normln"/>
    <w:pPr>
      <w:ind w:firstLine="360"/>
      <w:jc w:val="both"/>
    </w:p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rPr>
      <w:i/>
      <w:iCs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slovan0">
    <w:name w:val="Paragraf èíslovaný"/>
    <w:basedOn w:val="Normln"/>
    <w:rPr>
      <w:szCs w:val="20"/>
    </w:rPr>
  </w:style>
  <w:style w:type="paragraph" w:customStyle="1" w:styleId="Paragrafneslovan">
    <w:name w:val="Paragraf nečíslovaný"/>
    <w:basedOn w:val="Normln"/>
    <w:autoRedefine/>
    <w:rsid w:val="0013030A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13030A"/>
    <w:pPr>
      <w:tabs>
        <w:tab w:val="num" w:pos="360"/>
      </w:tabs>
      <w:spacing w:before="240" w:after="240"/>
    </w:pPr>
    <w:rPr>
      <w:b/>
      <w:spacing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projednání v komisi RMO pro rozvoj a investice obvodu dne 6</vt:lpstr>
    </vt:vector>
  </TitlesOfParts>
  <Company>SITmP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projednání v komisi RMO pro rozvoj a investice obvodu dne 6</dc:title>
  <dc:creator>.</dc:creator>
  <cp:lastModifiedBy>TOMÁNKOVÁ Marta</cp:lastModifiedBy>
  <cp:revision>6</cp:revision>
  <cp:lastPrinted>2014-01-08T13:13:00Z</cp:lastPrinted>
  <dcterms:created xsi:type="dcterms:W3CDTF">2013-12-30T13:58:00Z</dcterms:created>
  <dcterms:modified xsi:type="dcterms:W3CDTF">2014-01-08T13:13:00Z</dcterms:modified>
</cp:coreProperties>
</file>