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1" w:rsidRDefault="00491731" w:rsidP="00156BB8">
      <w:pPr>
        <w:pStyle w:val="Nadpis2"/>
        <w:jc w:val="center"/>
      </w:pPr>
      <w:bookmarkStart w:id="0" w:name="_GoBack"/>
      <w:bookmarkEnd w:id="0"/>
      <w:r>
        <w:t>Důvodová zpráva</w:t>
      </w:r>
    </w:p>
    <w:p w:rsidR="00491731" w:rsidRPr="00491731" w:rsidRDefault="00491731" w:rsidP="00491731"/>
    <w:p w:rsidR="00491731" w:rsidRDefault="00491731" w:rsidP="00491731">
      <w:pPr>
        <w:ind w:left="1134" w:hanging="567"/>
        <w:jc w:val="both"/>
        <w:rPr>
          <w:b/>
          <w:u w:val="single"/>
        </w:rPr>
      </w:pPr>
    </w:p>
    <w:p w:rsidR="00491731" w:rsidRPr="00156BB8" w:rsidRDefault="00156BB8" w:rsidP="00156BB8">
      <w:pPr>
        <w:jc w:val="both"/>
        <w:rPr>
          <w:b/>
          <w:u w:val="single"/>
        </w:rPr>
      </w:pPr>
      <w:r w:rsidRPr="00156BB8">
        <w:rPr>
          <w:b/>
          <w:u w:val="single"/>
        </w:rPr>
        <w:t>1/</w:t>
      </w:r>
      <w:r w:rsidR="00491731" w:rsidRPr="00156BB8">
        <w:rPr>
          <w:b/>
          <w:u w:val="single"/>
        </w:rPr>
        <w:t>Název problému a jeho charakteristika</w:t>
      </w:r>
    </w:p>
    <w:p w:rsidR="00286B88" w:rsidRPr="000D1A04" w:rsidRDefault="00286B88" w:rsidP="00156BB8">
      <w:pPr>
        <w:jc w:val="both"/>
      </w:pPr>
      <w:r w:rsidRPr="000D1A04">
        <w:t>Předložení Zásad pro poskytová</w:t>
      </w:r>
      <w:r w:rsidR="00156BB8">
        <w:t>ní dotací z roz</w:t>
      </w:r>
      <w:r w:rsidR="00F23007">
        <w:t>počtu MO Plzeň 1, předložení P</w:t>
      </w:r>
      <w:r w:rsidR="00156BB8">
        <w:t>okynů pro vyúčtován</w:t>
      </w:r>
      <w:r w:rsidR="00F23007">
        <w:t>í dotace na projekty příjemce</w:t>
      </w:r>
      <w:r w:rsidR="004714F5">
        <w:t xml:space="preserve"> a tabulky Vyúčtování – náklady na projekt</w:t>
      </w:r>
      <w:r w:rsidR="00F23007">
        <w:t>, p</w:t>
      </w:r>
      <w:r w:rsidR="00156BB8">
        <w:t>ředložení Žádosti o podporu sportovní, tělovýchovné, kulturní, ekologické a zájmové činnosti, na zdravotní účely, aktivity volného času nebo jinak veřejně prospěšné účely</w:t>
      </w:r>
      <w:r w:rsidR="00685F04">
        <w:t xml:space="preserve"> </w:t>
      </w:r>
    </w:p>
    <w:p w:rsidR="00491731" w:rsidRPr="00574E66" w:rsidRDefault="00491731" w:rsidP="001A08B6">
      <w:pPr>
        <w:jc w:val="both"/>
      </w:pPr>
    </w:p>
    <w:p w:rsidR="00491731" w:rsidRDefault="00156BB8" w:rsidP="00156BB8">
      <w:pPr>
        <w:pStyle w:val="Zkladntext2"/>
        <w:rPr>
          <w:b/>
          <w:u w:val="single"/>
        </w:rPr>
      </w:pPr>
      <w:r w:rsidRPr="00156BB8">
        <w:rPr>
          <w:b/>
        </w:rPr>
        <w:t xml:space="preserve">2/ </w:t>
      </w:r>
      <w:r w:rsidR="00491731" w:rsidRPr="00156BB8">
        <w:rPr>
          <w:b/>
          <w:u w:val="single"/>
        </w:rPr>
        <w:t>Konstatování současného stavu</w:t>
      </w:r>
    </w:p>
    <w:p w:rsidR="00F23007" w:rsidRPr="00C60C77" w:rsidRDefault="00F23007" w:rsidP="00156BB8">
      <w:pPr>
        <w:pStyle w:val="Zkladntext2"/>
      </w:pPr>
      <w:r w:rsidRPr="00C60C77">
        <w:t xml:space="preserve">Poskytování dotací se doposud řídilo pravidly pro poskytování dotací z rozpočtu </w:t>
      </w:r>
      <w:r w:rsidR="00C60C77">
        <w:t>MO Plzeň 1,</w:t>
      </w:r>
      <w:r w:rsidRPr="00C60C77">
        <w:t xml:space="preserve"> </w:t>
      </w:r>
      <w:r w:rsidR="00C60C77">
        <w:t>s</w:t>
      </w:r>
      <w:r w:rsidRPr="00C60C77">
        <w:t>chválené Zastupitelstvem MO Plzeň 1 usnesením č. 282 ze dne 27.</w:t>
      </w:r>
      <w:r w:rsidR="00685F04">
        <w:t xml:space="preserve"> </w:t>
      </w:r>
      <w:r w:rsidR="004625F7">
        <w:t>3</w:t>
      </w:r>
      <w:r w:rsidRPr="00C60C77">
        <w:t>.</w:t>
      </w:r>
      <w:r w:rsidR="00685F04">
        <w:t xml:space="preserve"> </w:t>
      </w:r>
      <w:r w:rsidRPr="00C60C77">
        <w:t>2013, kt</w:t>
      </w:r>
      <w:r w:rsidR="00C60C77">
        <w:t>e</w:t>
      </w:r>
      <w:r w:rsidRPr="00C60C77">
        <w:t>ré jsou dle zkušeností s</w:t>
      </w:r>
      <w:r w:rsidR="00C60C77" w:rsidRPr="00C60C77">
        <w:t> </w:t>
      </w:r>
      <w:r w:rsidRPr="00C60C77">
        <w:t>poskytováním</w:t>
      </w:r>
      <w:r w:rsidR="004714F5">
        <w:t xml:space="preserve"> dotací</w:t>
      </w:r>
      <w:r w:rsidR="00C60C77" w:rsidRPr="00C60C77">
        <w:t xml:space="preserve"> již svým obsahem nedostačující a je třeba je aktualizovat.</w:t>
      </w:r>
      <w:r w:rsidR="00685F04">
        <w:t xml:space="preserve"> Zcela chybí podklad</w:t>
      </w:r>
      <w:r w:rsidR="00C60C77">
        <w:t xml:space="preserve"> pro provedení vyúčtování, proto byly sestaveny Pokyny pro vyúčtování dotace</w:t>
      </w:r>
      <w:r w:rsidR="004714F5">
        <w:t xml:space="preserve"> a tabulka</w:t>
      </w:r>
      <w:r w:rsidR="00685F04">
        <w:t xml:space="preserve"> Vyúčtování – náklady na projekt.</w:t>
      </w:r>
      <w:r w:rsidR="00C60C77">
        <w:t xml:space="preserve"> </w:t>
      </w:r>
    </w:p>
    <w:p w:rsidR="00286B88" w:rsidRDefault="00286B88" w:rsidP="00156BB8">
      <w:pPr>
        <w:pStyle w:val="Prosttext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1731" w:rsidRDefault="00491731" w:rsidP="001A08B6">
      <w:pPr>
        <w:pStyle w:val="Prosttext"/>
        <w:jc w:val="both"/>
        <w:rPr>
          <w:u w:val="single"/>
        </w:rPr>
      </w:pPr>
    </w:p>
    <w:p w:rsidR="00491731" w:rsidRPr="00156BB8" w:rsidRDefault="00156BB8" w:rsidP="00156BB8">
      <w:pPr>
        <w:jc w:val="both"/>
        <w:rPr>
          <w:b/>
          <w:u w:val="single"/>
        </w:rPr>
      </w:pPr>
      <w:r w:rsidRPr="00156BB8">
        <w:rPr>
          <w:b/>
        </w:rPr>
        <w:t xml:space="preserve">3/ </w:t>
      </w:r>
      <w:r w:rsidR="00491731" w:rsidRPr="00156BB8">
        <w:rPr>
          <w:b/>
          <w:u w:val="single"/>
        </w:rPr>
        <w:t>Předpokládaný cílový stav</w:t>
      </w:r>
    </w:p>
    <w:p w:rsidR="00685F04" w:rsidRPr="00C60C77" w:rsidRDefault="00286B88" w:rsidP="00685F04">
      <w:pPr>
        <w:pStyle w:val="Zkladntext2"/>
      </w:pPr>
      <w:r w:rsidRPr="000D1A04">
        <w:rPr>
          <w:szCs w:val="24"/>
        </w:rPr>
        <w:t>Zásady</w:t>
      </w:r>
      <w:r>
        <w:rPr>
          <w:szCs w:val="24"/>
        </w:rPr>
        <w:t xml:space="preserve"> pro poskytování dotací z rozpočtu MO Plzeň 1</w:t>
      </w:r>
      <w:r w:rsidRPr="000D1A04">
        <w:rPr>
          <w:szCs w:val="24"/>
        </w:rPr>
        <w:t xml:space="preserve"> upravují postup při poskytování dotací z rozpočtu MO Plzeň 1 za účelem podpory rozvoje činností nekomerčního, neziskového </w:t>
      </w:r>
      <w:r w:rsidR="00685F04">
        <w:rPr>
          <w:szCs w:val="24"/>
        </w:rPr>
        <w:br/>
      </w:r>
      <w:r w:rsidRPr="000D1A04">
        <w:rPr>
          <w:szCs w:val="24"/>
        </w:rPr>
        <w:t xml:space="preserve">a obecně prospěšného charakteru. Účelem zásad je stanovení postupu při poskytování dotací </w:t>
      </w:r>
      <w:r w:rsidR="004714F5">
        <w:rPr>
          <w:szCs w:val="24"/>
        </w:rPr>
        <w:br/>
      </w:r>
      <w:r w:rsidRPr="000D1A04">
        <w:rPr>
          <w:szCs w:val="24"/>
        </w:rPr>
        <w:t>z rozpočtu MO Plzeň 1 a především účelu</w:t>
      </w:r>
      <w:r w:rsidR="00B15238">
        <w:rPr>
          <w:szCs w:val="24"/>
        </w:rPr>
        <w:t>,</w:t>
      </w:r>
      <w:r w:rsidRPr="000D1A04">
        <w:rPr>
          <w:szCs w:val="24"/>
        </w:rPr>
        <w:t xml:space="preserve"> na </w:t>
      </w:r>
      <w:r w:rsidR="00B527EE">
        <w:rPr>
          <w:szCs w:val="24"/>
        </w:rPr>
        <w:t>který</w:t>
      </w:r>
      <w:r w:rsidR="00EE460A">
        <w:rPr>
          <w:szCs w:val="24"/>
        </w:rPr>
        <w:t xml:space="preserve"> může být </w:t>
      </w:r>
      <w:r w:rsidRPr="000D1A04">
        <w:rPr>
          <w:szCs w:val="24"/>
        </w:rPr>
        <w:t>dotace použita.</w:t>
      </w:r>
      <w:r w:rsidR="002D3506">
        <w:rPr>
          <w:szCs w:val="24"/>
        </w:rPr>
        <w:t xml:space="preserve"> </w:t>
      </w:r>
      <w:r w:rsidR="00C60C77">
        <w:rPr>
          <w:szCs w:val="24"/>
        </w:rPr>
        <w:t>Nesrovnalosti při různé inter</w:t>
      </w:r>
      <w:r w:rsidR="00685F04">
        <w:rPr>
          <w:szCs w:val="24"/>
        </w:rPr>
        <w:t xml:space="preserve">pretaci </w:t>
      </w:r>
      <w:r w:rsidR="00C60C77">
        <w:rPr>
          <w:szCs w:val="24"/>
        </w:rPr>
        <w:t xml:space="preserve">předložených dokladů k vyúčtování dotace odbourávají nově sestavené </w:t>
      </w:r>
      <w:r w:rsidR="00685F04">
        <w:rPr>
          <w:szCs w:val="24"/>
        </w:rPr>
        <w:br/>
      </w:r>
      <w:r w:rsidR="00C60C77">
        <w:rPr>
          <w:szCs w:val="24"/>
        </w:rPr>
        <w:t xml:space="preserve">a předložené Pokyny pro vyúčtování dotace a dále </w:t>
      </w:r>
      <w:r w:rsidR="00685F04">
        <w:rPr>
          <w:szCs w:val="24"/>
        </w:rPr>
        <w:t>tabulka pr</w:t>
      </w:r>
      <w:r w:rsidR="00F63A7F">
        <w:rPr>
          <w:szCs w:val="24"/>
        </w:rPr>
        <w:t>o vyúčtování nákladů na projekt</w:t>
      </w:r>
      <w:r w:rsidR="004714F5">
        <w:t>, která</w:t>
      </w:r>
      <w:r w:rsidR="00685F04">
        <w:t xml:space="preserve"> má za úkol usnadněn</w:t>
      </w:r>
      <w:r w:rsidR="004625F7">
        <w:t>í přehledu předložených dokladů, které prokazují účel použití dotace.</w:t>
      </w:r>
    </w:p>
    <w:p w:rsidR="00C60C77" w:rsidRDefault="00C60C77" w:rsidP="00156BB8">
      <w:pPr>
        <w:pStyle w:val="Pros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136" w:rsidRDefault="00590136" w:rsidP="00156BB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B3BBD" w:rsidRPr="00156BB8" w:rsidRDefault="00156BB8" w:rsidP="001A08B6">
      <w:pPr>
        <w:jc w:val="both"/>
        <w:rPr>
          <w:b/>
          <w:bCs/>
          <w:u w:val="single"/>
        </w:rPr>
      </w:pPr>
      <w:r w:rsidRPr="00156BB8">
        <w:rPr>
          <w:b/>
          <w:bCs/>
        </w:rPr>
        <w:t xml:space="preserve">4/ </w:t>
      </w:r>
      <w:r w:rsidR="008B3BBD" w:rsidRPr="00156BB8">
        <w:rPr>
          <w:b/>
          <w:bCs/>
          <w:u w:val="single"/>
        </w:rPr>
        <w:t>Navrhované varianty řešení</w:t>
      </w:r>
    </w:p>
    <w:p w:rsidR="008B3BBD" w:rsidRDefault="008B3BBD" w:rsidP="001A08B6">
      <w:pPr>
        <w:jc w:val="both"/>
        <w:rPr>
          <w:bCs/>
        </w:rPr>
      </w:pPr>
      <w:r>
        <w:rPr>
          <w:bCs/>
        </w:rPr>
        <w:t>Nejsou variantní řešení.</w:t>
      </w:r>
    </w:p>
    <w:p w:rsidR="008B3BBD" w:rsidRPr="008B3BBD" w:rsidRDefault="008B3BBD" w:rsidP="001A08B6">
      <w:pPr>
        <w:jc w:val="both"/>
        <w:rPr>
          <w:bCs/>
        </w:rPr>
      </w:pPr>
    </w:p>
    <w:p w:rsidR="008B3BBD" w:rsidRDefault="008B3BBD" w:rsidP="001A08B6">
      <w:pPr>
        <w:jc w:val="both"/>
        <w:rPr>
          <w:bCs/>
        </w:rPr>
      </w:pPr>
    </w:p>
    <w:p w:rsidR="008B3BBD" w:rsidRPr="00156BB8" w:rsidRDefault="00156BB8" w:rsidP="00156BB8">
      <w:pPr>
        <w:jc w:val="both"/>
        <w:rPr>
          <w:b/>
          <w:bCs/>
          <w:u w:val="single"/>
        </w:rPr>
      </w:pPr>
      <w:r w:rsidRPr="00156BB8">
        <w:rPr>
          <w:b/>
          <w:bCs/>
        </w:rPr>
        <w:t xml:space="preserve">5/ </w:t>
      </w:r>
      <w:r w:rsidR="008B3BBD" w:rsidRPr="00156BB8">
        <w:rPr>
          <w:b/>
          <w:bCs/>
          <w:u w:val="single"/>
        </w:rPr>
        <w:t>Doporučená varianta řešení</w:t>
      </w:r>
    </w:p>
    <w:p w:rsidR="008B3BBD" w:rsidRDefault="00086CB7" w:rsidP="00156BB8">
      <w:pPr>
        <w:jc w:val="both"/>
      </w:pPr>
      <w:r>
        <w:rPr>
          <w:bCs/>
        </w:rPr>
        <w:t>Schválení nových Z</w:t>
      </w:r>
      <w:r w:rsidR="008B3BBD">
        <w:rPr>
          <w:bCs/>
        </w:rPr>
        <w:t>ásad pro poskytová</w:t>
      </w:r>
      <w:r w:rsidR="00156BB8">
        <w:rPr>
          <w:bCs/>
        </w:rPr>
        <w:t>ní dotací z rozpočtu MO Plzeň 1, schválení Pokynů pro vyúčtování dotace na projekty příjemce, schválení</w:t>
      </w:r>
      <w:r w:rsidR="00F23007">
        <w:rPr>
          <w:bCs/>
        </w:rPr>
        <w:t xml:space="preserve"> upravené</w:t>
      </w:r>
      <w:r w:rsidR="00156BB8">
        <w:rPr>
          <w:bCs/>
        </w:rPr>
        <w:t xml:space="preserve"> Žádosti </w:t>
      </w:r>
      <w:r w:rsidR="00156BB8">
        <w:t>o podporu sportovní, tělovýchovné, kulturní, ekologické a zájmové činnosti, na zdravotní účely, aktivity volného času nebo jinak veřejně prospěšné účely</w:t>
      </w:r>
    </w:p>
    <w:p w:rsidR="00156BB8" w:rsidRPr="00156BB8" w:rsidRDefault="00156BB8" w:rsidP="00156BB8">
      <w:pPr>
        <w:jc w:val="both"/>
      </w:pPr>
    </w:p>
    <w:p w:rsidR="008B3BBD" w:rsidRDefault="008B3BBD" w:rsidP="001A08B6">
      <w:pPr>
        <w:jc w:val="both"/>
        <w:rPr>
          <w:b/>
          <w:bCs/>
        </w:rPr>
      </w:pPr>
    </w:p>
    <w:p w:rsidR="008B3BBD" w:rsidRPr="00156BB8" w:rsidRDefault="00156BB8" w:rsidP="00156BB8">
      <w:pPr>
        <w:jc w:val="both"/>
        <w:rPr>
          <w:b/>
          <w:bCs/>
          <w:u w:val="single"/>
        </w:rPr>
      </w:pPr>
      <w:r w:rsidRPr="00156BB8">
        <w:rPr>
          <w:b/>
          <w:bCs/>
        </w:rPr>
        <w:t xml:space="preserve">6/ </w:t>
      </w:r>
      <w:r w:rsidR="008B3BBD" w:rsidRPr="00156BB8">
        <w:rPr>
          <w:b/>
          <w:bCs/>
          <w:u w:val="single"/>
        </w:rPr>
        <w:t>Finanční nároky řešení</w:t>
      </w:r>
    </w:p>
    <w:p w:rsidR="008B3BBD" w:rsidRDefault="008B3BBD" w:rsidP="00156BB8">
      <w:pPr>
        <w:jc w:val="both"/>
        <w:rPr>
          <w:bCs/>
        </w:rPr>
      </w:pPr>
      <w:r>
        <w:rPr>
          <w:bCs/>
        </w:rPr>
        <w:t>Bez finančních nároků.</w:t>
      </w:r>
    </w:p>
    <w:p w:rsidR="008B3BBD" w:rsidRPr="008B3BBD" w:rsidRDefault="008B3BBD" w:rsidP="001A08B6">
      <w:pPr>
        <w:spacing w:line="360" w:lineRule="auto"/>
        <w:jc w:val="both"/>
        <w:rPr>
          <w:bCs/>
        </w:rPr>
      </w:pPr>
    </w:p>
    <w:p w:rsidR="008B3BBD" w:rsidRDefault="008B3BBD" w:rsidP="001A08B6">
      <w:pPr>
        <w:ind w:left="284" w:firstLine="424"/>
        <w:jc w:val="both"/>
        <w:rPr>
          <w:bCs/>
          <w:u w:val="single"/>
        </w:rPr>
      </w:pPr>
    </w:p>
    <w:p w:rsidR="001A08B6" w:rsidRDefault="001A08B6" w:rsidP="001A08B6">
      <w:pPr>
        <w:tabs>
          <w:tab w:val="left" w:pos="709"/>
        </w:tabs>
        <w:jc w:val="both"/>
        <w:rPr>
          <w:bCs/>
          <w:u w:val="single"/>
        </w:rPr>
      </w:pPr>
    </w:p>
    <w:p w:rsidR="008B3BBD" w:rsidRPr="008B3BBD" w:rsidRDefault="006435A0" w:rsidP="008B3BB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8B3BBD" w:rsidRDefault="008B3BBD" w:rsidP="008B3BBD"/>
    <w:p w:rsidR="00590136" w:rsidRPr="000D1A04" w:rsidRDefault="00590136" w:rsidP="00286B8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86B88" w:rsidRPr="00286B88" w:rsidRDefault="00286B88" w:rsidP="00286B88">
      <w:pPr>
        <w:spacing w:line="360" w:lineRule="auto"/>
        <w:ind w:left="709" w:hanging="709"/>
        <w:jc w:val="both"/>
      </w:pPr>
    </w:p>
    <w:p w:rsidR="00491731" w:rsidRPr="00B30067" w:rsidRDefault="00491731" w:rsidP="00491731">
      <w:pPr>
        <w:ind w:left="705"/>
        <w:jc w:val="both"/>
      </w:pPr>
    </w:p>
    <w:p w:rsidR="00D27FAB" w:rsidRDefault="00D27FAB"/>
    <w:sectPr w:rsidR="00D2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1"/>
    <w:rsid w:val="00086CB7"/>
    <w:rsid w:val="00152280"/>
    <w:rsid w:val="001553F1"/>
    <w:rsid w:val="00156BB8"/>
    <w:rsid w:val="001A08B6"/>
    <w:rsid w:val="001B12F5"/>
    <w:rsid w:val="00263361"/>
    <w:rsid w:val="00286B88"/>
    <w:rsid w:val="002D3506"/>
    <w:rsid w:val="004625F7"/>
    <w:rsid w:val="004714F5"/>
    <w:rsid w:val="00477248"/>
    <w:rsid w:val="00491731"/>
    <w:rsid w:val="00545F2E"/>
    <w:rsid w:val="00546A9C"/>
    <w:rsid w:val="00551B6B"/>
    <w:rsid w:val="00590136"/>
    <w:rsid w:val="006435A0"/>
    <w:rsid w:val="00685F04"/>
    <w:rsid w:val="008B3BBD"/>
    <w:rsid w:val="008F0B3C"/>
    <w:rsid w:val="008F1E54"/>
    <w:rsid w:val="00B15238"/>
    <w:rsid w:val="00B527EE"/>
    <w:rsid w:val="00C60C77"/>
    <w:rsid w:val="00CF1053"/>
    <w:rsid w:val="00D02037"/>
    <w:rsid w:val="00D27FAB"/>
    <w:rsid w:val="00D817DA"/>
    <w:rsid w:val="00D97954"/>
    <w:rsid w:val="00EE460A"/>
    <w:rsid w:val="00F23007"/>
    <w:rsid w:val="00F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731"/>
    <w:pPr>
      <w:keepNext/>
      <w:jc w:val="both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91731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491731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7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86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6B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731"/>
    <w:pPr>
      <w:keepNext/>
      <w:jc w:val="both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91731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491731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7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86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6B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2</cp:revision>
  <cp:lastPrinted>2013-12-30T11:58:00Z</cp:lastPrinted>
  <dcterms:created xsi:type="dcterms:W3CDTF">2013-12-30T12:41:00Z</dcterms:created>
  <dcterms:modified xsi:type="dcterms:W3CDTF">2013-12-30T12:41:00Z</dcterms:modified>
</cp:coreProperties>
</file>