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FA65C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Zřízení služebností ve prospěch statutárního města Plzně, </w:t>
      </w:r>
      <w:r w:rsidR="00BC1DB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pozem</w:t>
      </w:r>
      <w:r w:rsidR="00BC1DBB">
        <w:rPr>
          <w:rFonts w:ascii="Times New Roman" w:hAnsi="Times New Roman" w:cs="Times New Roman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C1DBB">
        <w:rPr>
          <w:rFonts w:ascii="Times New Roman" w:hAnsi="Times New Roman" w:cs="Times New Roman"/>
          <w:sz w:val="24"/>
          <w:szCs w:val="24"/>
        </w:rPr>
        <w:t>. č. 2</w:t>
      </w:r>
      <w:r w:rsidR="00224C9F">
        <w:rPr>
          <w:rFonts w:ascii="Times New Roman" w:hAnsi="Times New Roman" w:cs="Times New Roman"/>
          <w:sz w:val="24"/>
          <w:szCs w:val="24"/>
        </w:rPr>
        <w:t>277/1 a</w:t>
      </w:r>
      <w:r w:rsidR="00BC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C1DBB">
        <w:rPr>
          <w:rFonts w:ascii="Times New Roman" w:hAnsi="Times New Roman" w:cs="Times New Roman"/>
          <w:sz w:val="24"/>
          <w:szCs w:val="24"/>
        </w:rPr>
        <w:t>. č. 2</w:t>
      </w:r>
      <w:r w:rsidR="00224C9F">
        <w:rPr>
          <w:rFonts w:ascii="Times New Roman" w:hAnsi="Times New Roman" w:cs="Times New Roman"/>
          <w:sz w:val="24"/>
          <w:szCs w:val="24"/>
        </w:rPr>
        <w:t>277/10, oba</w:t>
      </w:r>
      <w:r w:rsidR="00BC1DB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="00BC1DB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C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DBB">
        <w:rPr>
          <w:rFonts w:ascii="Times New Roman" w:hAnsi="Times New Roman" w:cs="Times New Roman"/>
          <w:sz w:val="24"/>
          <w:szCs w:val="24"/>
        </w:rPr>
        <w:t xml:space="preserve"> Valcha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BC1DB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BC1DBB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ve vlastnictví </w:t>
      </w:r>
      <w:r w:rsidR="00224C9F" w:rsidRPr="001E6820">
        <w:rPr>
          <w:rFonts w:ascii="Times New Roman" w:hAnsi="Times New Roman" w:cs="Times New Roman"/>
          <w:sz w:val="24"/>
          <w:szCs w:val="24"/>
        </w:rPr>
        <w:t>České republiky, přičemž právo hospodařit</w:t>
      </w:r>
      <w:r w:rsidR="00224C9F">
        <w:rPr>
          <w:rFonts w:ascii="Times New Roman" w:hAnsi="Times New Roman" w:cs="Times New Roman"/>
          <w:sz w:val="24"/>
          <w:szCs w:val="24"/>
        </w:rPr>
        <w:t xml:space="preserve"> s majetkem státu mají Lesy České republiky, </w:t>
      </w:r>
      <w:proofErr w:type="spellStart"/>
      <w:proofErr w:type="gramStart"/>
      <w:r w:rsidR="00224C9F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224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CC20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CC2046" w:rsidRDefault="00BC1DBB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 je investorem stavby „Obytná zóna Plzeň – Valcha</w:t>
      </w:r>
      <w:r w:rsidR="006E4C88">
        <w:rPr>
          <w:rFonts w:ascii="Times New Roman" w:hAnsi="Times New Roman" w:cs="Times New Roman"/>
          <w:sz w:val="24"/>
          <w:szCs w:val="24"/>
        </w:rPr>
        <w:t>, 1. etapa</w:t>
      </w:r>
      <w:r>
        <w:rPr>
          <w:rFonts w:ascii="Times New Roman" w:hAnsi="Times New Roman" w:cs="Times New Roman"/>
          <w:sz w:val="24"/>
          <w:szCs w:val="24"/>
        </w:rPr>
        <w:t>“ v rámci které</w:t>
      </w:r>
      <w:r w:rsidR="00CC2046">
        <w:rPr>
          <w:rFonts w:ascii="Times New Roman" w:hAnsi="Times New Roman" w:cs="Times New Roman"/>
          <w:sz w:val="24"/>
          <w:szCs w:val="24"/>
        </w:rPr>
        <w:t xml:space="preserve"> tato společnost </w:t>
      </w:r>
      <w:r>
        <w:rPr>
          <w:rFonts w:ascii="Times New Roman" w:hAnsi="Times New Roman" w:cs="Times New Roman"/>
          <w:sz w:val="24"/>
          <w:szCs w:val="24"/>
        </w:rPr>
        <w:t>zrealizovala splaškovou kanalizaci</w:t>
      </w:r>
      <w:r w:rsidR="00224C9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veřejné osvětlení. </w:t>
      </w:r>
      <w:r w:rsidR="00224C9F">
        <w:rPr>
          <w:rFonts w:ascii="Times New Roman" w:hAnsi="Times New Roman" w:cs="Times New Roman"/>
          <w:sz w:val="24"/>
          <w:szCs w:val="24"/>
        </w:rPr>
        <w:t>Tyto inženýrské sítě</w:t>
      </w:r>
      <w:r w:rsidR="00CC2046">
        <w:rPr>
          <w:rFonts w:ascii="Times New Roman" w:hAnsi="Times New Roman" w:cs="Times New Roman"/>
          <w:sz w:val="24"/>
          <w:szCs w:val="24"/>
        </w:rPr>
        <w:t xml:space="preserve"> jsou předmětem převodu do vlastnictví města Plzně a vzhledem ke skutečnosti, že jsou jimi dotčeny i pozemky, které nejsou ve vlastnictví města Plzně, je nutné majetkově vyřešit vztah mezi vlastníky těchto pozemků a statutárním městem Plzeň.</w:t>
      </w:r>
    </w:p>
    <w:p w:rsidR="00016D6A" w:rsidRDefault="00016D6A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majetkové vztahy se řeší formou zřízení služebnost</w:t>
      </w:r>
      <w:r w:rsidR="00CC20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v tomto případě by se jednalo o</w:t>
      </w:r>
      <w:r w:rsidR="00E50593">
        <w:rPr>
          <w:rFonts w:ascii="Times New Roman" w:hAnsi="Times New Roman" w:cs="Times New Roman"/>
          <w:sz w:val="24"/>
          <w:szCs w:val="24"/>
        </w:rPr>
        <w:t xml:space="preserve"> </w:t>
      </w:r>
      <w:r w:rsidR="00CC2046">
        <w:rPr>
          <w:rFonts w:ascii="Times New Roman" w:hAnsi="Times New Roman" w:cs="Times New Roman"/>
          <w:sz w:val="24"/>
          <w:szCs w:val="24"/>
        </w:rPr>
        <w:t>následující služebnosti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2046" w:rsidRDefault="00D56A3A" w:rsidP="00CC2046">
      <w:pPr>
        <w:tabs>
          <w:tab w:val="left" w:pos="284"/>
          <w:tab w:val="left" w:pos="1276"/>
          <w:tab w:val="left" w:pos="4395"/>
          <w:tab w:val="left" w:pos="538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2046">
        <w:rPr>
          <w:rFonts w:ascii="Times New Roman" w:hAnsi="Times New Roman" w:cs="Times New Roman"/>
          <w:sz w:val="24"/>
          <w:szCs w:val="24"/>
        </w:rPr>
        <w:t xml:space="preserve">) </w:t>
      </w:r>
      <w:r w:rsidR="00306108">
        <w:rPr>
          <w:rFonts w:ascii="Times New Roman" w:hAnsi="Times New Roman" w:cs="Times New Roman"/>
          <w:sz w:val="24"/>
          <w:szCs w:val="24"/>
        </w:rPr>
        <w:t>S</w:t>
      </w:r>
      <w:r w:rsidR="00CC2046">
        <w:rPr>
          <w:rFonts w:ascii="Times New Roman" w:hAnsi="Times New Roman" w:cs="Times New Roman"/>
          <w:sz w:val="24"/>
          <w:szCs w:val="24"/>
        </w:rPr>
        <w:t xml:space="preserve">lužebnost inženýrské sítě dle § </w:t>
      </w:r>
      <w:r w:rsidR="00CC2046" w:rsidRPr="0061646C">
        <w:rPr>
          <w:rFonts w:ascii="Times New Roman" w:hAnsi="Times New Roman" w:cs="Times New Roman"/>
          <w:sz w:val="24"/>
          <w:szCs w:val="24"/>
        </w:rPr>
        <w:t>1267 a § 1268 občanského zákoníku, spočívající v oprávnění zřídit (umístit) a provozovat splaškovou kanalizaci na pozem</w:t>
      </w:r>
      <w:r w:rsidR="00224C9F">
        <w:rPr>
          <w:rFonts w:ascii="Times New Roman" w:hAnsi="Times New Roman" w:cs="Times New Roman"/>
          <w:sz w:val="24"/>
          <w:szCs w:val="24"/>
        </w:rPr>
        <w:t>ku</w:t>
      </w:r>
      <w:r w:rsidR="00CC2046" w:rsidRPr="0061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046" w:rsidRPr="0061646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C2046" w:rsidRPr="0061646C">
        <w:rPr>
          <w:rFonts w:ascii="Times New Roman" w:hAnsi="Times New Roman" w:cs="Times New Roman"/>
          <w:sz w:val="24"/>
          <w:szCs w:val="24"/>
        </w:rPr>
        <w:t>. č. 2</w:t>
      </w:r>
      <w:r w:rsidR="00224C9F">
        <w:rPr>
          <w:rFonts w:ascii="Times New Roman" w:hAnsi="Times New Roman" w:cs="Times New Roman"/>
          <w:sz w:val="24"/>
          <w:szCs w:val="24"/>
        </w:rPr>
        <w:t>277/1</w:t>
      </w:r>
      <w:r w:rsidR="00CC2046" w:rsidRPr="00616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C2046" w:rsidRPr="0061646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C2046" w:rsidRPr="00616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046" w:rsidRPr="0061646C">
        <w:rPr>
          <w:rFonts w:ascii="Times New Roman" w:hAnsi="Times New Roman" w:cs="Times New Roman"/>
          <w:sz w:val="24"/>
          <w:szCs w:val="24"/>
        </w:rPr>
        <w:t xml:space="preserve"> Valcha</w:t>
      </w:r>
      <w:r w:rsidR="00306108">
        <w:rPr>
          <w:rFonts w:ascii="Times New Roman" w:hAnsi="Times New Roman" w:cs="Times New Roman"/>
          <w:sz w:val="24"/>
          <w:szCs w:val="24"/>
        </w:rPr>
        <w:t>. Rozsah služebnosti je vyznačen na geometrickém plánu č. 232</w:t>
      </w:r>
      <w:r w:rsidR="00224C9F">
        <w:rPr>
          <w:rFonts w:ascii="Times New Roman" w:hAnsi="Times New Roman" w:cs="Times New Roman"/>
          <w:sz w:val="24"/>
          <w:szCs w:val="24"/>
        </w:rPr>
        <w:t>8</w:t>
      </w:r>
      <w:r w:rsidR="00306108">
        <w:rPr>
          <w:rFonts w:ascii="Times New Roman" w:hAnsi="Times New Roman" w:cs="Times New Roman"/>
          <w:sz w:val="24"/>
          <w:szCs w:val="24"/>
        </w:rPr>
        <w:t>-6</w:t>
      </w:r>
      <w:r w:rsidR="00224C9F">
        <w:rPr>
          <w:rFonts w:ascii="Times New Roman" w:hAnsi="Times New Roman" w:cs="Times New Roman"/>
          <w:sz w:val="24"/>
          <w:szCs w:val="24"/>
        </w:rPr>
        <w:t>6</w:t>
      </w:r>
      <w:r w:rsidR="00306108">
        <w:rPr>
          <w:rFonts w:ascii="Times New Roman" w:hAnsi="Times New Roman" w:cs="Times New Roman"/>
          <w:sz w:val="24"/>
          <w:szCs w:val="24"/>
        </w:rPr>
        <w:t>/2013.</w:t>
      </w:r>
    </w:p>
    <w:p w:rsidR="00CC2046" w:rsidRPr="0061646C" w:rsidRDefault="00D56A3A" w:rsidP="00CC2046">
      <w:pPr>
        <w:tabs>
          <w:tab w:val="left" w:pos="284"/>
          <w:tab w:val="left" w:pos="1276"/>
          <w:tab w:val="left" w:pos="4395"/>
          <w:tab w:val="left" w:pos="538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C2046">
        <w:rPr>
          <w:rFonts w:ascii="Times New Roman" w:hAnsi="Times New Roman" w:cs="Times New Roman"/>
          <w:sz w:val="24"/>
          <w:szCs w:val="24"/>
        </w:rPr>
        <w:t xml:space="preserve">) </w:t>
      </w:r>
      <w:r w:rsidR="00306108">
        <w:rPr>
          <w:rFonts w:ascii="Times New Roman" w:hAnsi="Times New Roman" w:cs="Times New Roman"/>
          <w:sz w:val="24"/>
          <w:szCs w:val="24"/>
        </w:rPr>
        <w:t>S</w:t>
      </w:r>
      <w:r w:rsidR="00CC2046">
        <w:rPr>
          <w:rFonts w:ascii="Times New Roman" w:hAnsi="Times New Roman" w:cs="Times New Roman"/>
          <w:sz w:val="24"/>
          <w:szCs w:val="24"/>
        </w:rPr>
        <w:t xml:space="preserve">lužebnost inženýrské </w:t>
      </w:r>
      <w:r w:rsidR="00CC2046" w:rsidRPr="0061646C">
        <w:rPr>
          <w:rFonts w:ascii="Times New Roman" w:hAnsi="Times New Roman" w:cs="Times New Roman"/>
          <w:sz w:val="24"/>
          <w:szCs w:val="24"/>
        </w:rPr>
        <w:t>sítě dle § 1267 a § 1268 občanského zákoníku, spočívající v oprávnění zřídit (umístit) a provozovat veřejné osvětlení na pozem</w:t>
      </w:r>
      <w:r w:rsidR="00224C9F">
        <w:rPr>
          <w:rFonts w:ascii="Times New Roman" w:hAnsi="Times New Roman" w:cs="Times New Roman"/>
          <w:sz w:val="24"/>
          <w:szCs w:val="24"/>
        </w:rPr>
        <w:t>ku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046" w:rsidRPr="0061646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C2046" w:rsidRPr="0061646C">
        <w:rPr>
          <w:rFonts w:ascii="Times New Roman" w:hAnsi="Times New Roman" w:cs="Times New Roman"/>
          <w:sz w:val="24"/>
          <w:szCs w:val="24"/>
        </w:rPr>
        <w:t>. č. 2</w:t>
      </w:r>
      <w:r w:rsidR="00224C9F">
        <w:rPr>
          <w:rFonts w:ascii="Times New Roman" w:hAnsi="Times New Roman" w:cs="Times New Roman"/>
          <w:sz w:val="24"/>
          <w:szCs w:val="24"/>
        </w:rPr>
        <w:t>277</w:t>
      </w:r>
      <w:r w:rsidR="00CC2046" w:rsidRPr="0061646C">
        <w:rPr>
          <w:rFonts w:ascii="Times New Roman" w:hAnsi="Times New Roman" w:cs="Times New Roman"/>
          <w:sz w:val="24"/>
          <w:szCs w:val="24"/>
        </w:rPr>
        <w:t>/1</w:t>
      </w:r>
      <w:r w:rsidR="00224C9F">
        <w:rPr>
          <w:rFonts w:ascii="Times New Roman" w:hAnsi="Times New Roman" w:cs="Times New Roman"/>
          <w:sz w:val="24"/>
          <w:szCs w:val="24"/>
        </w:rPr>
        <w:t>0</w:t>
      </w:r>
      <w:r w:rsidR="00CC2046" w:rsidRPr="00616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C2046" w:rsidRPr="0061646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C2046" w:rsidRPr="00616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046" w:rsidRPr="0061646C">
        <w:rPr>
          <w:rFonts w:ascii="Times New Roman" w:hAnsi="Times New Roman" w:cs="Times New Roman"/>
          <w:sz w:val="24"/>
          <w:szCs w:val="24"/>
        </w:rPr>
        <w:t xml:space="preserve"> Valcha</w:t>
      </w:r>
      <w:bookmarkEnd w:id="0"/>
      <w:bookmarkEnd w:id="1"/>
      <w:r w:rsidR="00306108">
        <w:rPr>
          <w:rFonts w:ascii="Times New Roman" w:hAnsi="Times New Roman" w:cs="Times New Roman"/>
          <w:sz w:val="24"/>
          <w:szCs w:val="24"/>
        </w:rPr>
        <w:t>. Rozsah služebnosti je vyznačen na geometrickém plánu č. 231</w:t>
      </w:r>
      <w:r w:rsidR="00224C9F">
        <w:rPr>
          <w:rFonts w:ascii="Times New Roman" w:hAnsi="Times New Roman" w:cs="Times New Roman"/>
          <w:sz w:val="24"/>
          <w:szCs w:val="24"/>
        </w:rPr>
        <w:t>6</w:t>
      </w:r>
      <w:r w:rsidR="00306108">
        <w:rPr>
          <w:rFonts w:ascii="Times New Roman" w:hAnsi="Times New Roman" w:cs="Times New Roman"/>
          <w:sz w:val="24"/>
          <w:szCs w:val="24"/>
        </w:rPr>
        <w:t>-4</w:t>
      </w:r>
      <w:r w:rsidR="00224C9F">
        <w:rPr>
          <w:rFonts w:ascii="Times New Roman" w:hAnsi="Times New Roman" w:cs="Times New Roman"/>
          <w:sz w:val="24"/>
          <w:szCs w:val="24"/>
        </w:rPr>
        <w:t>8</w:t>
      </w:r>
      <w:r w:rsidR="00306108">
        <w:rPr>
          <w:rFonts w:ascii="Times New Roman" w:hAnsi="Times New Roman" w:cs="Times New Roman"/>
          <w:sz w:val="24"/>
          <w:szCs w:val="24"/>
        </w:rPr>
        <w:t>/2013.</w:t>
      </w:r>
    </w:p>
    <w:p w:rsidR="00331660" w:rsidRDefault="00224C9F" w:rsidP="00224C9F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geometrických plánech, které jsou v příloze </w:t>
      </w:r>
      <w:r w:rsidR="00D56A3A">
        <w:rPr>
          <w:rFonts w:ascii="Times New Roman" w:hAnsi="Times New Roman" w:cs="Times New Roman"/>
          <w:sz w:val="24"/>
          <w:szCs w:val="24"/>
        </w:rPr>
        <w:t>P1 a</w:t>
      </w:r>
      <w:r>
        <w:rPr>
          <w:rFonts w:ascii="Times New Roman" w:hAnsi="Times New Roman" w:cs="Times New Roman"/>
          <w:sz w:val="24"/>
          <w:szCs w:val="24"/>
        </w:rPr>
        <w:t xml:space="preserve"> P2 tohoto usnesení navíc uvedeny pozemky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2277/8,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2277/9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2278/5, všechny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Valcha. Tyto pozemky nebudou ve smlouvě o zřízení služebností uvedeny, protože jsou předmětem výkupu do majetku města Plzně, a to z důvodu, že na nich je umístěna komunikace, která bude v majetku města Plzně.</w:t>
      </w:r>
    </w:p>
    <w:p w:rsidR="00E50593" w:rsidRDefault="00224C9F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6820">
        <w:rPr>
          <w:rFonts w:ascii="Times New Roman" w:hAnsi="Times New Roman" w:cs="Times New Roman"/>
          <w:sz w:val="24"/>
          <w:szCs w:val="24"/>
        </w:rPr>
        <w:t xml:space="preserve">Smlouva o zřízení služebností bude uzavřena mezi statutárním městem Plzeň (oprávněný), </w:t>
      </w:r>
      <w:r>
        <w:rPr>
          <w:rFonts w:ascii="Times New Roman" w:hAnsi="Times New Roman" w:cs="Times New Roman"/>
          <w:sz w:val="24"/>
          <w:szCs w:val="24"/>
        </w:rPr>
        <w:t xml:space="preserve">Lesy České republiky,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 sídlem Přemyslova 1106, 501 68 Hradec Králové, IČ 42196451 (povinný) a Valcha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se sídlem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1/1, 150 00 Praha 5, IČ 27926931 (investor).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Služebnosti </w:t>
      </w:r>
      <w:r w:rsidR="0096369C">
        <w:rPr>
          <w:rFonts w:ascii="Times New Roman" w:hAnsi="Times New Roman" w:cs="Times New Roman"/>
          <w:sz w:val="24"/>
          <w:szCs w:val="24"/>
        </w:rPr>
        <w:t xml:space="preserve">budou zřízeny </w:t>
      </w:r>
      <w:r>
        <w:rPr>
          <w:rFonts w:ascii="Times New Roman" w:hAnsi="Times New Roman" w:cs="Times New Roman"/>
          <w:sz w:val="24"/>
          <w:szCs w:val="24"/>
        </w:rPr>
        <w:t xml:space="preserve">na dobu </w:t>
      </w:r>
      <w:r w:rsidR="00224C9F">
        <w:rPr>
          <w:rFonts w:ascii="Times New Roman" w:hAnsi="Times New Roman" w:cs="Times New Roman"/>
          <w:sz w:val="24"/>
          <w:szCs w:val="24"/>
        </w:rPr>
        <w:t>životnosti inženýrských sítí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služebností uvedených v předchozím bodě této důvodové zprávy.</w:t>
      </w:r>
    </w:p>
    <w:p w:rsidR="00D56A3A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Služebnosti jsou zřizovány za jednorázovou úhradu</w:t>
      </w:r>
      <w:r w:rsidR="00766F51">
        <w:rPr>
          <w:rFonts w:ascii="Times New Roman" w:hAnsi="Times New Roman" w:cs="Times New Roman"/>
          <w:sz w:val="24"/>
          <w:szCs w:val="24"/>
        </w:rPr>
        <w:t>, která činí</w:t>
      </w:r>
      <w:r w:rsidR="00D56A3A">
        <w:rPr>
          <w:rFonts w:ascii="Times New Roman" w:hAnsi="Times New Roman" w:cs="Times New Roman"/>
          <w:sz w:val="24"/>
          <w:szCs w:val="24"/>
        </w:rPr>
        <w:t xml:space="preserve"> 10.000,</w:t>
      </w:r>
      <w:r w:rsidR="00766F51">
        <w:rPr>
          <w:rFonts w:ascii="Times New Roman" w:hAnsi="Times New Roman" w:cs="Times New Roman"/>
          <w:sz w:val="24"/>
          <w:szCs w:val="24"/>
        </w:rPr>
        <w:t xml:space="preserve">- Kč </w:t>
      </w:r>
      <w:r w:rsidR="00D56A3A">
        <w:rPr>
          <w:rFonts w:ascii="Times New Roman" w:hAnsi="Times New Roman" w:cs="Times New Roman"/>
          <w:sz w:val="24"/>
          <w:szCs w:val="24"/>
        </w:rPr>
        <w:t>+</w:t>
      </w:r>
      <w:r w:rsidR="00766F51">
        <w:rPr>
          <w:rFonts w:ascii="Times New Roman" w:hAnsi="Times New Roman" w:cs="Times New Roman"/>
          <w:sz w:val="24"/>
          <w:szCs w:val="24"/>
        </w:rPr>
        <w:t xml:space="preserve"> DPH</w:t>
      </w:r>
      <w:r>
        <w:rPr>
          <w:rFonts w:ascii="Times New Roman" w:hAnsi="Times New Roman" w:cs="Times New Roman"/>
          <w:sz w:val="24"/>
          <w:szCs w:val="24"/>
        </w:rPr>
        <w:t xml:space="preserve">. Tato cena bude uhrazena </w:t>
      </w:r>
      <w:r w:rsidR="00766F51">
        <w:rPr>
          <w:rFonts w:ascii="Times New Roman" w:hAnsi="Times New Roman" w:cs="Times New Roman"/>
          <w:sz w:val="24"/>
          <w:szCs w:val="24"/>
        </w:rPr>
        <w:t>povinnému investorem. Statutárnímu městu Plzni, proto nevzniknou se zřízením služebnost</w:t>
      </w:r>
      <w:r w:rsidR="00224C9F">
        <w:rPr>
          <w:rFonts w:ascii="Times New Roman" w:hAnsi="Times New Roman" w:cs="Times New Roman"/>
          <w:sz w:val="24"/>
          <w:szCs w:val="24"/>
        </w:rPr>
        <w:t>í</w:t>
      </w:r>
      <w:r w:rsidR="00766F51">
        <w:rPr>
          <w:rFonts w:ascii="Times New Roman" w:hAnsi="Times New Roman" w:cs="Times New Roman"/>
          <w:sz w:val="24"/>
          <w:szCs w:val="24"/>
        </w:rPr>
        <w:t xml:space="preserve"> žádné náklady.</w:t>
      </w:r>
    </w:p>
    <w:p w:rsidR="00766F51" w:rsidRDefault="00766F51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8. Dříve přijatá usnesení orgánů města Plzně nebo městských obvodů, která s tímto návrhem souvisejí.</w:t>
      </w:r>
    </w:p>
    <w:p w:rsidR="008873F8" w:rsidRDefault="0021312F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usnesení předložen „na stůl“ dne </w:t>
      </w:r>
      <w:r w:rsidR="00FD6251">
        <w:rPr>
          <w:rFonts w:ascii="Times New Roman" w:hAnsi="Times New Roman" w:cs="Times New Roman"/>
          <w:sz w:val="24"/>
          <w:szCs w:val="24"/>
        </w:rPr>
        <w:t>16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 4. 2014.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108" w:rsidRDefault="00BB20D2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6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geometrický plán č. 2328</w:t>
      </w:r>
      <w:r w:rsidR="00306108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6</w:t>
      </w:r>
      <w:r w:rsidR="00306108">
        <w:rPr>
          <w:rFonts w:ascii="Times New Roman" w:hAnsi="Times New Roman" w:cs="Times New Roman"/>
          <w:sz w:val="24"/>
          <w:szCs w:val="24"/>
        </w:rPr>
        <w:t>/2013 – splašková kanalizace</w:t>
      </w:r>
    </w:p>
    <w:p w:rsidR="008873F8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geometrický plán č. 231</w:t>
      </w:r>
      <w:r w:rsidR="00BB20D2">
        <w:rPr>
          <w:rFonts w:ascii="Times New Roman" w:hAnsi="Times New Roman" w:cs="Times New Roman"/>
          <w:sz w:val="24"/>
          <w:szCs w:val="24"/>
        </w:rPr>
        <w:t>6</w:t>
      </w:r>
      <w:r w:rsidR="00306108">
        <w:rPr>
          <w:rFonts w:ascii="Times New Roman" w:hAnsi="Times New Roman" w:cs="Times New Roman"/>
          <w:sz w:val="24"/>
          <w:szCs w:val="24"/>
        </w:rPr>
        <w:t>-4</w:t>
      </w:r>
      <w:r w:rsidR="00BB20D2">
        <w:rPr>
          <w:rFonts w:ascii="Times New Roman" w:hAnsi="Times New Roman" w:cs="Times New Roman"/>
          <w:sz w:val="24"/>
          <w:szCs w:val="24"/>
        </w:rPr>
        <w:t>8</w:t>
      </w:r>
      <w:r w:rsidR="00306108">
        <w:rPr>
          <w:rFonts w:ascii="Times New Roman" w:hAnsi="Times New Roman" w:cs="Times New Roman"/>
          <w:sz w:val="24"/>
          <w:szCs w:val="24"/>
        </w:rPr>
        <w:t>/2013 – veřejné osvětlení</w:t>
      </w:r>
    </w:p>
    <w:p w:rsidR="00306108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územní plán</w:t>
      </w:r>
    </w:p>
    <w:p w:rsidR="00306108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letecký snímek</w:t>
      </w:r>
    </w:p>
    <w:p w:rsidR="00306108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orientační mapa</w:t>
      </w:r>
    </w:p>
    <w:p w:rsidR="00306108" w:rsidRDefault="00D56A3A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modrá mapa-pozemky města</w:t>
      </w:r>
    </w:p>
    <w:sectPr w:rsidR="00306108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097D65"/>
    <w:rsid w:val="0021312F"/>
    <w:rsid w:val="00224C9F"/>
    <w:rsid w:val="00306108"/>
    <w:rsid w:val="00331660"/>
    <w:rsid w:val="00361A38"/>
    <w:rsid w:val="006E4C88"/>
    <w:rsid w:val="00766F51"/>
    <w:rsid w:val="007F0288"/>
    <w:rsid w:val="008873F8"/>
    <w:rsid w:val="0096369C"/>
    <w:rsid w:val="00984AF4"/>
    <w:rsid w:val="00BB20D2"/>
    <w:rsid w:val="00BC1DBB"/>
    <w:rsid w:val="00CC2046"/>
    <w:rsid w:val="00D56A3A"/>
    <w:rsid w:val="00DC0289"/>
    <w:rsid w:val="00E50593"/>
    <w:rsid w:val="00FA5B9B"/>
    <w:rsid w:val="00FA65CC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4</cp:revision>
  <cp:lastPrinted>2014-04-08T10:12:00Z</cp:lastPrinted>
  <dcterms:created xsi:type="dcterms:W3CDTF">2014-04-08T12:35:00Z</dcterms:created>
  <dcterms:modified xsi:type="dcterms:W3CDTF">2014-04-14T13:32:00Z</dcterms:modified>
</cp:coreProperties>
</file>