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52" w:rsidRDefault="008F54A7" w:rsidP="00643E22">
      <w:pPr>
        <w:rPr>
          <w:rFonts w:ascii="Times New Roman" w:hAnsi="Times New Roman"/>
          <w:sz w:val="24"/>
        </w:rPr>
      </w:pPr>
      <w:r w:rsidRPr="00176C49">
        <w:rPr>
          <w:rFonts w:ascii="Times New Roman" w:hAnsi="Times New Roman"/>
          <w:b/>
          <w:sz w:val="24"/>
          <w:u w:val="single"/>
        </w:rPr>
        <w:t>Příloha č. 6</w:t>
      </w:r>
      <w:r w:rsidR="00176C49" w:rsidRPr="00176C49">
        <w:rPr>
          <w:rFonts w:ascii="Times New Roman" w:hAnsi="Times New Roman"/>
          <w:b/>
          <w:sz w:val="24"/>
          <w:u w:val="single"/>
        </w:rPr>
        <w:t xml:space="preserve"> – Vývoj pohledávek na nájemném a službách v letech 2006 </w:t>
      </w:r>
      <w:r w:rsidR="00176C49">
        <w:rPr>
          <w:rFonts w:ascii="Times New Roman" w:hAnsi="Times New Roman"/>
          <w:b/>
          <w:sz w:val="24"/>
          <w:u w:val="single"/>
        </w:rPr>
        <w:t>–</w:t>
      </w:r>
      <w:r w:rsidR="00176C49" w:rsidRPr="00176C49">
        <w:rPr>
          <w:rFonts w:ascii="Times New Roman" w:hAnsi="Times New Roman"/>
          <w:b/>
          <w:sz w:val="24"/>
          <w:u w:val="single"/>
        </w:rPr>
        <w:t xml:space="preserve"> 2013</w:t>
      </w:r>
    </w:p>
    <w:p w:rsidR="00176C49" w:rsidRPr="00176C49" w:rsidRDefault="00176C49" w:rsidP="00643E22">
      <w:pPr>
        <w:rPr>
          <w:rFonts w:ascii="Times New Roman" w:hAnsi="Times New Roman"/>
          <w:sz w:val="24"/>
        </w:rPr>
      </w:pPr>
    </w:p>
    <w:p w:rsidR="00240A52" w:rsidRPr="0010111F" w:rsidRDefault="009B254E" w:rsidP="001C5C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10111F">
        <w:rPr>
          <w:rFonts w:ascii="Times New Roman" w:hAnsi="Times New Roman"/>
          <w:b/>
          <w:bCs/>
          <w:sz w:val="24"/>
          <w:u w:val="single"/>
        </w:rPr>
        <w:t>Vývoj</w:t>
      </w:r>
      <w:r w:rsidR="001C5CEE" w:rsidRPr="0010111F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240A52" w:rsidRPr="0010111F">
        <w:rPr>
          <w:rFonts w:ascii="Times New Roman" w:hAnsi="Times New Roman"/>
          <w:b/>
          <w:bCs/>
          <w:sz w:val="24"/>
          <w:u w:val="single"/>
        </w:rPr>
        <w:t>dluh</w:t>
      </w:r>
      <w:r w:rsidR="001C5CEE" w:rsidRPr="0010111F">
        <w:rPr>
          <w:rFonts w:ascii="Times New Roman" w:hAnsi="Times New Roman"/>
          <w:b/>
          <w:bCs/>
          <w:sz w:val="24"/>
          <w:u w:val="single"/>
        </w:rPr>
        <w:t>ů</w:t>
      </w:r>
      <w:r w:rsidR="00240A52" w:rsidRPr="0010111F">
        <w:rPr>
          <w:rFonts w:ascii="Times New Roman" w:hAnsi="Times New Roman"/>
          <w:b/>
          <w:bCs/>
          <w:sz w:val="24"/>
          <w:u w:val="single"/>
        </w:rPr>
        <w:t xml:space="preserve"> na nájemném</w:t>
      </w:r>
      <w:r w:rsidR="001C5CEE" w:rsidRPr="0010111F">
        <w:rPr>
          <w:rFonts w:ascii="Times New Roman" w:hAnsi="Times New Roman"/>
          <w:b/>
          <w:bCs/>
          <w:sz w:val="24"/>
          <w:u w:val="single"/>
        </w:rPr>
        <w:t xml:space="preserve"> a službách v letech 2011 </w:t>
      </w:r>
      <w:r w:rsidR="00627958" w:rsidRPr="0010111F">
        <w:rPr>
          <w:rFonts w:ascii="Times New Roman" w:hAnsi="Times New Roman"/>
          <w:b/>
          <w:bCs/>
          <w:sz w:val="24"/>
          <w:u w:val="single"/>
        </w:rPr>
        <w:t>–</w:t>
      </w:r>
      <w:r w:rsidR="001C5CEE" w:rsidRPr="0010111F">
        <w:rPr>
          <w:rFonts w:ascii="Times New Roman" w:hAnsi="Times New Roman"/>
          <w:b/>
          <w:bCs/>
          <w:sz w:val="24"/>
          <w:u w:val="single"/>
        </w:rPr>
        <w:t xml:space="preserve"> 2013</w:t>
      </w:r>
      <w:r w:rsidR="00627958" w:rsidRPr="0010111F">
        <w:rPr>
          <w:rFonts w:ascii="Times New Roman" w:hAnsi="Times New Roman"/>
          <w:b/>
          <w:bCs/>
          <w:sz w:val="24"/>
          <w:u w:val="single"/>
        </w:rPr>
        <w:t xml:space="preserve"> v tis. Kč</w:t>
      </w:r>
    </w:p>
    <w:p w:rsidR="00240A52" w:rsidRPr="008F54A7" w:rsidRDefault="00240A52" w:rsidP="00643E22">
      <w:pPr>
        <w:ind w:left="360"/>
        <w:jc w:val="both"/>
        <w:rPr>
          <w:rFonts w:ascii="Times New Roman" w:hAnsi="Times New Roman"/>
          <w:sz w:val="24"/>
        </w:rPr>
      </w:pPr>
      <w:r w:rsidRPr="008F54A7">
        <w:rPr>
          <w:rFonts w:ascii="Times New Roman" w:hAnsi="Times New Roman"/>
          <w:sz w:val="24"/>
        </w:rPr>
        <w:t>Z</w:t>
      </w:r>
      <w:r w:rsidR="00AE1EFC">
        <w:rPr>
          <w:rFonts w:ascii="Times New Roman" w:hAnsi="Times New Roman"/>
          <w:sz w:val="24"/>
        </w:rPr>
        <w:t> </w:t>
      </w:r>
      <w:r w:rsidRPr="008F54A7">
        <w:rPr>
          <w:rFonts w:ascii="Times New Roman" w:hAnsi="Times New Roman"/>
          <w:sz w:val="24"/>
        </w:rPr>
        <w:t>důvodu</w:t>
      </w:r>
      <w:r w:rsidR="00AE1EFC">
        <w:rPr>
          <w:rFonts w:ascii="Times New Roman" w:hAnsi="Times New Roman"/>
          <w:sz w:val="24"/>
        </w:rPr>
        <w:t xml:space="preserve"> časové náročnosti na zpracování údajů je uveden vývoj za poslední tři roky</w:t>
      </w:r>
      <w:r w:rsidR="005F37B8">
        <w:rPr>
          <w:rFonts w:ascii="Times New Roman" w:hAnsi="Times New Roman"/>
          <w:sz w:val="24"/>
        </w:rPr>
        <w:t xml:space="preserve"> </w:t>
      </w:r>
      <w:r w:rsidR="00AE1EFC">
        <w:rPr>
          <w:rFonts w:ascii="Times New Roman" w:hAnsi="Times New Roman"/>
          <w:sz w:val="24"/>
        </w:rPr>
        <w:t>a z důvodu</w:t>
      </w:r>
      <w:r w:rsidRPr="008F54A7">
        <w:rPr>
          <w:rFonts w:ascii="Times New Roman" w:hAnsi="Times New Roman"/>
          <w:sz w:val="24"/>
        </w:rPr>
        <w:t xml:space="preserve"> objektivnosti musely být vyčleněny odpisy nevymahatelných pohledávek, aby nedošlo ke zkreslení</w:t>
      </w:r>
      <w:r w:rsidR="00150A9A">
        <w:rPr>
          <w:rFonts w:ascii="Times New Roman" w:hAnsi="Times New Roman"/>
          <w:sz w:val="24"/>
        </w:rPr>
        <w:t xml:space="preserve"> procenta</w:t>
      </w:r>
      <w:r w:rsidRPr="008F54A7">
        <w:rPr>
          <w:rFonts w:ascii="Times New Roman" w:hAnsi="Times New Roman"/>
          <w:sz w:val="24"/>
        </w:rPr>
        <w:t xml:space="preserve"> zaplacen</w:t>
      </w:r>
      <w:r w:rsidR="00150A9A">
        <w:rPr>
          <w:rFonts w:ascii="Times New Roman" w:hAnsi="Times New Roman"/>
          <w:sz w:val="24"/>
        </w:rPr>
        <w:t>í</w:t>
      </w:r>
      <w:r w:rsidRPr="008F54A7">
        <w:rPr>
          <w:rFonts w:ascii="Times New Roman" w:hAnsi="Times New Roman"/>
          <w:sz w:val="24"/>
        </w:rPr>
        <w:t>.</w:t>
      </w:r>
    </w:p>
    <w:p w:rsidR="00240A52" w:rsidRDefault="00240A52" w:rsidP="00240A52">
      <w:pPr>
        <w:ind w:left="360"/>
        <w:rPr>
          <w:color w:val="1F497D"/>
        </w:rPr>
      </w:pPr>
      <w:bookmarkStart w:id="0" w:name="_GoBack"/>
      <w:bookmarkEnd w:id="0"/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64"/>
        <w:gridCol w:w="1049"/>
        <w:gridCol w:w="1244"/>
        <w:gridCol w:w="884"/>
        <w:gridCol w:w="1446"/>
        <w:gridCol w:w="1023"/>
        <w:gridCol w:w="1400"/>
      </w:tblGrid>
      <w:tr w:rsidR="00E9632C" w:rsidRPr="00E9632C" w:rsidTr="00240A52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v tis.</w:t>
            </w:r>
            <w:r w:rsidR="00627958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 xml:space="preserve"> </w:t>
            </w: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Kč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předpis měsíční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632C" w:rsidRDefault="00E9632C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vyúčtování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632C" w:rsidRDefault="00E9632C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odpisy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E9632C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P</w:t>
            </w:r>
            <w:r w:rsidR="008F54A7"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latby</w:t>
            </w:r>
            <w:r>
              <w:rPr>
                <w:rFonts w:ascii="Times New Roman" w:hAnsi="Times New Roman"/>
                <w:color w:val="000000"/>
                <w:sz w:val="24"/>
                <w:lang w:eastAsia="cs-CZ"/>
              </w:rPr>
              <w:t xml:space="preserve"> </w:t>
            </w:r>
            <w:r w:rsidR="008F54A7"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(včetně vyúčtování</w:t>
            </w:r>
            <w:r w:rsidR="00240A52"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)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 xml:space="preserve">dluh </w:t>
            </w:r>
          </w:p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za rok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632C" w:rsidRDefault="00E9632C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  <w:p w:rsidR="00240A52" w:rsidRPr="00E9632C" w:rsidRDefault="00240A52" w:rsidP="00E9632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% zaplacení</w:t>
            </w:r>
          </w:p>
        </w:tc>
      </w:tr>
      <w:tr w:rsidR="00E9632C" w:rsidRPr="00E9632C" w:rsidTr="00240A52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Město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134461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3985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6727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129129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8074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94,12</w:t>
            </w:r>
          </w:p>
        </w:tc>
      </w:tr>
      <w:tr w:rsidR="00E9632C" w:rsidRPr="00E9632C" w:rsidTr="001878BC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Sylván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43102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2156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41188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-225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100,00</w:t>
            </w:r>
          </w:p>
        </w:tc>
      </w:tr>
      <w:tr w:rsidR="00E9632C" w:rsidRPr="00E9632C" w:rsidTr="001878BC">
        <w:trPr>
          <w:trHeight w:val="305"/>
        </w:trPr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celkem byty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177563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6141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6744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170317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7849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95,59</w:t>
            </w:r>
          </w:p>
        </w:tc>
      </w:tr>
      <w:tr w:rsidR="00E9632C" w:rsidRPr="00E9632C" w:rsidTr="001878BC">
        <w:trPr>
          <w:trHeight w:val="305"/>
        </w:trPr>
        <w:tc>
          <w:tcPr>
            <w:tcW w:w="1032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709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96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</w:tr>
      <w:tr w:rsidR="00E9632C" w:rsidRPr="00E9632C" w:rsidTr="00240A52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2012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Město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150514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4780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2245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136573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11406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92,29</w:t>
            </w:r>
          </w:p>
        </w:tc>
      </w:tr>
      <w:tr w:rsidR="00E9632C" w:rsidRPr="00E9632C" w:rsidTr="00240A52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Sylván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42466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2313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39904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99,36</w:t>
            </w:r>
          </w:p>
        </w:tc>
      </w:tr>
      <w:tr w:rsidR="00E9632C" w:rsidRPr="00E9632C" w:rsidTr="001878BC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celkem byty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192980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7093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2254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176477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11664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93,80</w:t>
            </w:r>
          </w:p>
        </w:tc>
      </w:tr>
      <w:tr w:rsidR="00E9632C" w:rsidRPr="00E9632C" w:rsidTr="001878BC">
        <w:trPr>
          <w:trHeight w:val="305"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</w:tr>
      <w:tr w:rsidR="00E9632C" w:rsidRPr="00E9632C" w:rsidTr="001878BC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2011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Město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145364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1844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4917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135299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13138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91,15</w:t>
            </w:r>
          </w:p>
        </w:tc>
      </w:tr>
      <w:tr w:rsidR="00E9632C" w:rsidRPr="00E9632C" w:rsidTr="00240A52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Sylván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41145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872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color w:val="000000"/>
                <w:sz w:val="24"/>
                <w:lang w:eastAsia="cs-CZ"/>
              </w:rPr>
              <w:t>39564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709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98,24</w:t>
            </w:r>
          </w:p>
        </w:tc>
      </w:tr>
      <w:tr w:rsidR="00E9632C" w:rsidRPr="00E9632C" w:rsidTr="00240A52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celkem byty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186509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2716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4917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174863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13847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0A52" w:rsidRPr="00E9632C" w:rsidRDefault="00240A52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92,66</w:t>
            </w:r>
          </w:p>
        </w:tc>
      </w:tr>
    </w:tbl>
    <w:p w:rsidR="00240A52" w:rsidRDefault="00240A52" w:rsidP="00240A52">
      <w:pPr>
        <w:rPr>
          <w:color w:val="1F497D"/>
        </w:rPr>
      </w:pPr>
    </w:p>
    <w:p w:rsidR="00D1137F" w:rsidRDefault="00D1137F" w:rsidP="00240A52">
      <w:pPr>
        <w:rPr>
          <w:color w:val="1F497D"/>
        </w:rPr>
      </w:pPr>
    </w:p>
    <w:p w:rsidR="00D1137F" w:rsidRDefault="0097710B" w:rsidP="0097710B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grafu je zachycen předpis na nájemném a službách po odečtení vyúčtování, dále odpisy a platby, z nichž vyplývá výše dluhu za rok.</w:t>
      </w:r>
    </w:p>
    <w:p w:rsidR="004B7DB8" w:rsidRDefault="004B7DB8" w:rsidP="0097710B">
      <w:pPr>
        <w:ind w:left="360"/>
        <w:rPr>
          <w:rFonts w:ascii="Times New Roman" w:hAnsi="Times New Roman"/>
          <w:sz w:val="24"/>
        </w:rPr>
      </w:pPr>
    </w:p>
    <w:p w:rsidR="004B7DB8" w:rsidRDefault="004B7DB8" w:rsidP="004B7DB8">
      <w:pPr>
        <w:ind w:left="360"/>
        <w:jc w:val="center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20D3A0DE" wp14:editId="71CF2D8D">
            <wp:extent cx="5192202" cy="3355451"/>
            <wp:effectExtent l="0" t="0" r="27940" b="1651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710B" w:rsidRDefault="0097710B" w:rsidP="0097710B">
      <w:pPr>
        <w:ind w:firstLine="360"/>
        <w:rPr>
          <w:rFonts w:ascii="Times New Roman" w:hAnsi="Times New Roman"/>
          <w:sz w:val="24"/>
        </w:rPr>
      </w:pPr>
    </w:p>
    <w:p w:rsidR="00C656DB" w:rsidRPr="000B4FF9" w:rsidRDefault="00C656DB" w:rsidP="00C656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0B4FF9">
        <w:rPr>
          <w:rFonts w:ascii="Times New Roman" w:hAnsi="Times New Roman"/>
          <w:b/>
          <w:bCs/>
          <w:sz w:val="24"/>
          <w:u w:val="single"/>
        </w:rPr>
        <w:lastRenderedPageBreak/>
        <w:t>Aktuální v</w:t>
      </w:r>
      <w:r w:rsidR="001C5CEE" w:rsidRPr="000B4FF9">
        <w:rPr>
          <w:rFonts w:ascii="Times New Roman" w:hAnsi="Times New Roman"/>
          <w:b/>
          <w:bCs/>
          <w:sz w:val="24"/>
          <w:u w:val="single"/>
        </w:rPr>
        <w:t>ýše</w:t>
      </w:r>
      <w:r w:rsidR="00240A52" w:rsidRPr="000B4FF9">
        <w:rPr>
          <w:rFonts w:ascii="Times New Roman" w:hAnsi="Times New Roman"/>
          <w:b/>
          <w:bCs/>
          <w:sz w:val="24"/>
          <w:u w:val="single"/>
        </w:rPr>
        <w:t xml:space="preserve"> pohledávek na nájemném</w:t>
      </w:r>
      <w:r w:rsidRPr="000B4FF9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240A52" w:rsidRDefault="00C656DB" w:rsidP="00643E22">
      <w:pPr>
        <w:pStyle w:val="Odstavecseseznamem"/>
        <w:ind w:left="360"/>
        <w:jc w:val="both"/>
        <w:rPr>
          <w:rFonts w:ascii="Times New Roman" w:hAnsi="Times New Roman"/>
          <w:sz w:val="24"/>
        </w:rPr>
      </w:pPr>
      <w:r w:rsidRPr="00C656DB">
        <w:rPr>
          <w:rFonts w:ascii="Times New Roman" w:hAnsi="Times New Roman"/>
          <w:bCs/>
          <w:sz w:val="24"/>
        </w:rPr>
        <w:t>Pohledávky vznikly v době, kdy bylo přidělování bytů v kompetenci městských obvodů – tj. do 31. 12. 2006</w:t>
      </w:r>
      <w:r w:rsidRPr="00C656D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(vč. </w:t>
      </w:r>
      <w:r w:rsidR="00240A52" w:rsidRPr="00D1137F">
        <w:rPr>
          <w:rFonts w:ascii="Times New Roman" w:hAnsi="Times New Roman"/>
          <w:sz w:val="24"/>
        </w:rPr>
        <w:t>výběr</w:t>
      </w:r>
      <w:r>
        <w:rPr>
          <w:rFonts w:ascii="Times New Roman" w:hAnsi="Times New Roman"/>
          <w:sz w:val="24"/>
        </w:rPr>
        <w:t>u</w:t>
      </w:r>
      <w:r w:rsidR="00240A52" w:rsidRPr="00D1137F">
        <w:rPr>
          <w:rFonts w:ascii="Times New Roman" w:hAnsi="Times New Roman"/>
          <w:sz w:val="24"/>
        </w:rPr>
        <w:t xml:space="preserve"> a před</w:t>
      </w:r>
      <w:r>
        <w:rPr>
          <w:rFonts w:ascii="Times New Roman" w:hAnsi="Times New Roman"/>
          <w:sz w:val="24"/>
        </w:rPr>
        <w:t>episování nájemného</w:t>
      </w:r>
      <w:r w:rsidR="00240A52" w:rsidRPr="00D1137F">
        <w:rPr>
          <w:rFonts w:ascii="Times New Roman" w:hAnsi="Times New Roman"/>
          <w:sz w:val="24"/>
        </w:rPr>
        <w:t xml:space="preserve"> a následné</w:t>
      </w:r>
      <w:r>
        <w:rPr>
          <w:rFonts w:ascii="Times New Roman" w:hAnsi="Times New Roman"/>
          <w:sz w:val="24"/>
        </w:rPr>
        <w:t>ho</w:t>
      </w:r>
      <w:r w:rsidR="00240A52" w:rsidRPr="00D1137F">
        <w:rPr>
          <w:rFonts w:ascii="Times New Roman" w:hAnsi="Times New Roman"/>
          <w:sz w:val="24"/>
        </w:rPr>
        <w:t xml:space="preserve"> vymáhání dluhů</w:t>
      </w:r>
      <w:r>
        <w:rPr>
          <w:rFonts w:ascii="Times New Roman" w:hAnsi="Times New Roman"/>
          <w:sz w:val="24"/>
        </w:rPr>
        <w:t>)</w:t>
      </w:r>
      <w:r w:rsidR="009938F1">
        <w:rPr>
          <w:rFonts w:ascii="Times New Roman" w:hAnsi="Times New Roman"/>
          <w:sz w:val="24"/>
        </w:rPr>
        <w:t xml:space="preserve">. Tabulka a graf porovnávají výše pohledávek v době předání agendy na </w:t>
      </w:r>
      <w:proofErr w:type="spellStart"/>
      <w:r w:rsidR="009938F1">
        <w:rPr>
          <w:rFonts w:ascii="Times New Roman" w:hAnsi="Times New Roman"/>
          <w:sz w:val="24"/>
        </w:rPr>
        <w:t>MMP</w:t>
      </w:r>
      <w:proofErr w:type="spellEnd"/>
      <w:r w:rsidR="009938F1">
        <w:rPr>
          <w:rFonts w:ascii="Times New Roman" w:hAnsi="Times New Roman"/>
          <w:sz w:val="24"/>
        </w:rPr>
        <w:t xml:space="preserve"> </w:t>
      </w:r>
      <w:r w:rsidR="001539DB">
        <w:rPr>
          <w:rFonts w:ascii="Times New Roman" w:hAnsi="Times New Roman"/>
          <w:sz w:val="24"/>
        </w:rPr>
        <w:br/>
      </w:r>
      <w:r w:rsidR="009938F1">
        <w:rPr>
          <w:rFonts w:ascii="Times New Roman" w:hAnsi="Times New Roman"/>
          <w:sz w:val="24"/>
        </w:rPr>
        <w:t>se současnou situací.</w:t>
      </w:r>
    </w:p>
    <w:p w:rsidR="00B042C1" w:rsidRPr="00D1137F" w:rsidRDefault="00B042C1" w:rsidP="00C656DB">
      <w:pPr>
        <w:pStyle w:val="Odstavecseseznamem"/>
        <w:jc w:val="both"/>
        <w:rPr>
          <w:rFonts w:ascii="Times New Roman" w:hAnsi="Times New Roman"/>
          <w:sz w:val="24"/>
        </w:rPr>
      </w:pPr>
    </w:p>
    <w:tbl>
      <w:tblPr>
        <w:tblW w:w="7232" w:type="dxa"/>
        <w:jc w:val="center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900"/>
        <w:gridCol w:w="1840"/>
        <w:gridCol w:w="1900"/>
      </w:tblGrid>
      <w:tr w:rsidR="007E0951" w:rsidRPr="00313574" w:rsidTr="009938F1">
        <w:trPr>
          <w:trHeight w:val="645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51" w:rsidRPr="00313574" w:rsidRDefault="007E0951" w:rsidP="003135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pohledávka v </w:t>
            </w:r>
            <w:proofErr w:type="gramStart"/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Kč  k 31</w:t>
            </w:r>
            <w:proofErr w:type="gramEnd"/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 12. 2006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0951" w:rsidRPr="00313574" w:rsidRDefault="007E0951" w:rsidP="003135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pohledávka v </w:t>
            </w:r>
            <w:proofErr w:type="gramStart"/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Kč  k 31</w:t>
            </w:r>
            <w:proofErr w:type="gramEnd"/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 3. 2014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0951" w:rsidRPr="00313574" w:rsidRDefault="007E0951" w:rsidP="003135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Vymoženo vč. odepsaného v Kč</w:t>
            </w:r>
          </w:p>
        </w:tc>
      </w:tr>
      <w:tr w:rsidR="007E0951" w:rsidRPr="00313574" w:rsidTr="009938F1">
        <w:trPr>
          <w:trHeight w:val="315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1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18 234 332,00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10 654 861,88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7 579 470,12</w:t>
            </w:r>
          </w:p>
        </w:tc>
      </w:tr>
      <w:tr w:rsidR="007E0951" w:rsidRPr="00313574" w:rsidTr="009938F1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9 994 255,00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6 212 695,25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3 781 559,75</w:t>
            </w:r>
          </w:p>
        </w:tc>
      </w:tr>
      <w:tr w:rsidR="007E0951" w:rsidRPr="00313574" w:rsidTr="009938F1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16 436 526,00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8 672 467,99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7 764 058,01</w:t>
            </w:r>
          </w:p>
        </w:tc>
      </w:tr>
      <w:tr w:rsidR="007E0951" w:rsidRPr="00313574" w:rsidTr="009938F1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4 216 283,00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1 854 026,06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2 362 256,94</w:t>
            </w:r>
          </w:p>
        </w:tc>
      </w:tr>
      <w:tr w:rsidR="007E0951" w:rsidRPr="00313574" w:rsidTr="009938F1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61 271,00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6 283,00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54 988,00</w:t>
            </w:r>
          </w:p>
        </w:tc>
      </w:tr>
      <w:tr w:rsidR="007E0951" w:rsidRPr="00313574" w:rsidTr="009938F1">
        <w:trPr>
          <w:trHeight w:val="330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17 269,00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16 277,00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992,00</w:t>
            </w:r>
          </w:p>
        </w:tc>
      </w:tr>
      <w:tr w:rsidR="007E0951" w:rsidRPr="00313574" w:rsidTr="009938F1">
        <w:trPr>
          <w:trHeight w:val="330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 Plzeň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47 984,00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28 878,00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19 106,00</w:t>
            </w:r>
          </w:p>
        </w:tc>
      </w:tr>
      <w:tr w:rsidR="007E0951" w:rsidRPr="00313574" w:rsidTr="009938F1">
        <w:trPr>
          <w:trHeight w:val="330"/>
          <w:jc w:val="center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49 007 920,00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27 445 489,18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951" w:rsidRPr="00313574" w:rsidRDefault="007E0951" w:rsidP="003135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5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21 562 430,82</w:t>
            </w:r>
          </w:p>
        </w:tc>
      </w:tr>
    </w:tbl>
    <w:p w:rsidR="00240A52" w:rsidRDefault="00240A52" w:rsidP="00240A52">
      <w:pPr>
        <w:rPr>
          <w:color w:val="1F497D"/>
        </w:rPr>
      </w:pPr>
    </w:p>
    <w:p w:rsidR="00B042C1" w:rsidRDefault="00B042C1" w:rsidP="00240A52">
      <w:pPr>
        <w:rPr>
          <w:color w:val="1F497D"/>
        </w:rPr>
      </w:pPr>
    </w:p>
    <w:p w:rsidR="00B042C1" w:rsidRDefault="00B042C1" w:rsidP="00BA2CAF">
      <w:pPr>
        <w:jc w:val="right"/>
        <w:rPr>
          <w:color w:val="1F497D"/>
        </w:rPr>
      </w:pPr>
    </w:p>
    <w:p w:rsidR="00B042C1" w:rsidRDefault="00B042C1" w:rsidP="00240A52">
      <w:pPr>
        <w:rPr>
          <w:color w:val="1F497D"/>
        </w:rPr>
      </w:pPr>
    </w:p>
    <w:p w:rsidR="00B042C1" w:rsidRDefault="007E0951" w:rsidP="007E0951">
      <w:pPr>
        <w:jc w:val="center"/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52DE5A48" wp14:editId="23038966">
            <wp:extent cx="5367131" cy="3824577"/>
            <wp:effectExtent l="0" t="0" r="24130" b="24130"/>
            <wp:docPr id="1" name="Graf 1" title="Aktuální výše pohledávek na nájemném vzniklých do 31.12.20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42C1" w:rsidRDefault="00B042C1" w:rsidP="00240A52">
      <w:pPr>
        <w:rPr>
          <w:color w:val="1F497D"/>
        </w:rPr>
      </w:pPr>
    </w:p>
    <w:p w:rsidR="00B042C1" w:rsidRDefault="00B042C1" w:rsidP="00240A52">
      <w:pPr>
        <w:rPr>
          <w:color w:val="1F497D"/>
        </w:rPr>
      </w:pPr>
    </w:p>
    <w:p w:rsidR="00240A52" w:rsidRPr="00AB50A5" w:rsidRDefault="00DF4A08" w:rsidP="00AB50A5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AB50A5">
        <w:rPr>
          <w:rFonts w:ascii="Times New Roman" w:hAnsi="Times New Roman"/>
          <w:b/>
          <w:bCs/>
          <w:sz w:val="24"/>
          <w:szCs w:val="24"/>
        </w:rPr>
        <w:br w:type="page"/>
      </w:r>
      <w:r w:rsidR="00643E22" w:rsidRPr="00AB50A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Č</w:t>
      </w:r>
      <w:r w:rsidR="00240A52" w:rsidRPr="00AB50A5">
        <w:rPr>
          <w:rFonts w:ascii="Times New Roman" w:hAnsi="Times New Roman"/>
          <w:b/>
          <w:bCs/>
          <w:sz w:val="24"/>
          <w:szCs w:val="24"/>
          <w:u w:val="single"/>
        </w:rPr>
        <w:t xml:space="preserve">lenění pohledávek po lhůtě splatnosti </w:t>
      </w:r>
    </w:p>
    <w:p w:rsidR="00240A52" w:rsidRPr="00B042C1" w:rsidRDefault="00240A52" w:rsidP="00240A52">
      <w:pPr>
        <w:ind w:firstLine="360"/>
        <w:rPr>
          <w:rFonts w:ascii="Times New Roman" w:hAnsi="Times New Roman"/>
          <w:sz w:val="24"/>
          <w:szCs w:val="24"/>
        </w:rPr>
      </w:pPr>
    </w:p>
    <w:tbl>
      <w:tblPr>
        <w:tblW w:w="8100" w:type="dxa"/>
        <w:jc w:val="center"/>
        <w:tblInd w:w="41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840"/>
        <w:gridCol w:w="1800"/>
      </w:tblGrid>
      <w:tr w:rsidR="00B042C1" w:rsidRPr="00B042C1" w:rsidTr="00EB449A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Byty - v tis. Kč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B042C1" w:rsidP="006F5A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</w:rPr>
              <w:t xml:space="preserve">pohledávky </w:t>
            </w:r>
            <w:r w:rsidR="00240A52" w:rsidRPr="00B042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do 12 měsíců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B042C1" w:rsidP="006F5A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</w:rPr>
              <w:t xml:space="preserve">pohledávky </w:t>
            </w:r>
            <w:r w:rsidR="00240A52" w:rsidRPr="00B042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nad 12 měsíců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 w:rsidP="006F5A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B042C1" w:rsidRPr="00B042C1" w:rsidTr="00EB449A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 w:rsidP="00176C4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PÚ</w:t>
            </w:r>
            <w:proofErr w:type="spellEnd"/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20</w:t>
            </w:r>
            <w:r w:rsidR="00176C49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(lokalita Sylván)</w:t>
            </w: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nájemné + služby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2 398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2 861</w:t>
            </w:r>
          </w:p>
        </w:tc>
      </w:tr>
      <w:tr w:rsidR="00B042C1" w:rsidRPr="00B042C1" w:rsidTr="00EB449A">
        <w:trPr>
          <w:trHeight w:val="255"/>
          <w:jc w:val="center"/>
        </w:trPr>
        <w:tc>
          <w:tcPr>
            <w:tcW w:w="2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 w:rsidP="00176C4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PÚ</w:t>
            </w:r>
            <w:proofErr w:type="spellEnd"/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34</w:t>
            </w:r>
            <w:r w:rsidR="00176C49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(byty město)</w:t>
            </w: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nájemné + služby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7 008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107 291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114 299</w:t>
            </w:r>
          </w:p>
        </w:tc>
      </w:tr>
      <w:tr w:rsidR="00B042C1" w:rsidRPr="00B042C1" w:rsidTr="00EB449A">
        <w:trPr>
          <w:trHeight w:val="255"/>
          <w:jc w:val="center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B042C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9632C">
              <w:rPr>
                <w:rFonts w:ascii="Times New Roman" w:hAnsi="Times New Roman"/>
                <w:b/>
                <w:bCs/>
                <w:color w:val="000000"/>
                <w:sz w:val="24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7 471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109 689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0A52" w:rsidRPr="00B042C1" w:rsidRDefault="00240A52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42C1">
              <w:rPr>
                <w:rFonts w:ascii="Times New Roman" w:hAnsi="Times New Roman"/>
                <w:sz w:val="24"/>
                <w:szCs w:val="24"/>
                <w:lang w:eastAsia="cs-CZ"/>
              </w:rPr>
              <w:t>117 160</w:t>
            </w:r>
          </w:p>
        </w:tc>
      </w:tr>
    </w:tbl>
    <w:p w:rsidR="00240A52" w:rsidRDefault="00240A52" w:rsidP="00240A52">
      <w:pPr>
        <w:rPr>
          <w:color w:val="1F497D"/>
        </w:rPr>
      </w:pPr>
    </w:p>
    <w:p w:rsidR="002C6485" w:rsidRDefault="002C6485" w:rsidP="003F280A">
      <w:pPr>
        <w:jc w:val="center"/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3E880E39" wp14:editId="0496724F">
            <wp:extent cx="2647785" cy="1820849"/>
            <wp:effectExtent l="0" t="0" r="635" b="825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CB89F3" wp14:editId="1677EF6B">
            <wp:extent cx="2647784" cy="1828800"/>
            <wp:effectExtent l="0" t="0" r="63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BEC" w:rsidRDefault="00E50BEC" w:rsidP="003F280A">
      <w:pPr>
        <w:jc w:val="center"/>
        <w:rPr>
          <w:color w:val="1F497D"/>
        </w:rPr>
      </w:pPr>
    </w:p>
    <w:p w:rsidR="00E50BEC" w:rsidRDefault="00E50BEC" w:rsidP="003F280A">
      <w:pPr>
        <w:jc w:val="center"/>
        <w:rPr>
          <w:color w:val="1F497D"/>
        </w:rPr>
      </w:pPr>
    </w:p>
    <w:p w:rsidR="002C6485" w:rsidRDefault="003F280A" w:rsidP="00A05881">
      <w:pPr>
        <w:rPr>
          <w:color w:val="1F497D"/>
        </w:rPr>
      </w:pPr>
      <w:r w:rsidRPr="00302F7E">
        <w:rPr>
          <w:noProof/>
          <w:lang w:eastAsia="cs-CZ"/>
        </w:rPr>
        <w:drawing>
          <wp:inline distT="0" distB="0" distL="0" distR="0" wp14:anchorId="1228A1EF" wp14:editId="3BD8FAEE">
            <wp:extent cx="2671639" cy="1924216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E1F63A4" wp14:editId="653E429F">
            <wp:extent cx="2671639" cy="1932167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4E96" w:rsidRPr="008C09E9" w:rsidRDefault="008C09E9" w:rsidP="008C09E9">
      <w:pPr>
        <w:ind w:left="993"/>
        <w:jc w:val="both"/>
        <w:rPr>
          <w:b/>
          <w:color w:val="FF0000"/>
          <w:sz w:val="24"/>
          <w:szCs w:val="24"/>
        </w:rPr>
      </w:pPr>
      <w:r w:rsidRPr="008C09E9">
        <w:rPr>
          <w:rFonts w:ascii="Times New Roman" w:hAnsi="Times New Roman"/>
          <w:b/>
          <w:sz w:val="24"/>
          <w:szCs w:val="24"/>
        </w:rPr>
        <w:t>Graf -</w:t>
      </w:r>
      <w:r w:rsidRPr="008C09E9">
        <w:rPr>
          <w:b/>
          <w:sz w:val="24"/>
          <w:szCs w:val="24"/>
        </w:rPr>
        <w:t xml:space="preserve"> </w:t>
      </w:r>
      <w:r w:rsidRPr="008C09E9">
        <w:rPr>
          <w:rFonts w:ascii="Times New Roman" w:hAnsi="Times New Roman"/>
          <w:b/>
          <w:bCs/>
          <w:sz w:val="24"/>
          <w:szCs w:val="24"/>
        </w:rPr>
        <w:t>členění pohledávek po lhůtě splatnosti</w:t>
      </w:r>
    </w:p>
    <w:p w:rsidR="00E64E96" w:rsidRDefault="00A62A31" w:rsidP="002C6485">
      <w:pPr>
        <w:jc w:val="center"/>
        <w:rPr>
          <w:color w:val="1F497D"/>
        </w:rPr>
      </w:pPr>
      <w:r w:rsidRPr="007E0B08">
        <w:rPr>
          <w:rFonts w:ascii="Times New Roman" w:hAnsi="Times New Roman"/>
          <w:noProof/>
          <w:lang w:eastAsia="cs-CZ"/>
        </w:rPr>
        <w:drawing>
          <wp:inline distT="0" distB="0" distL="0" distR="0" wp14:anchorId="208EC8DF" wp14:editId="20BCD733">
            <wp:extent cx="4572000" cy="2608028"/>
            <wp:effectExtent l="0" t="0" r="0" b="1905"/>
            <wp:docPr id="4" name="Graf 4" descr="Členění pohledávek po lhůtě splatnosti v tis. Kč" title="Členění pohledávek po lhůtě splatnosti v tis. Kč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5574" w:rsidRPr="00405574" w:rsidRDefault="00405574" w:rsidP="004055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Nájemné a služby – předpisy a dluhy – </w:t>
      </w:r>
      <w:r w:rsidR="009A3938">
        <w:rPr>
          <w:rFonts w:ascii="Times New Roman" w:hAnsi="Times New Roman"/>
          <w:b/>
          <w:bCs/>
          <w:sz w:val="24"/>
          <w:szCs w:val="24"/>
          <w:u w:val="single"/>
        </w:rPr>
        <w:t xml:space="preserve">meziroční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porovnání</w:t>
      </w:r>
      <w:r w:rsidR="006F6846">
        <w:rPr>
          <w:rFonts w:ascii="Times New Roman" w:hAnsi="Times New Roman"/>
          <w:b/>
          <w:bCs/>
          <w:sz w:val="24"/>
          <w:szCs w:val="24"/>
          <w:u w:val="single"/>
        </w:rPr>
        <w:t xml:space="preserve"> v letech 2006 - 2013</w:t>
      </w:r>
    </w:p>
    <w:p w:rsidR="00405574" w:rsidRDefault="00405574" w:rsidP="00405574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405574" w:rsidRDefault="005F37B8" w:rsidP="008C0F4B">
      <w:pPr>
        <w:pStyle w:val="Odstavecseseznamem"/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Tabulka</w:t>
      </w:r>
      <w:r w:rsidR="00C06311">
        <w:rPr>
          <w:rFonts w:ascii="Times New Roman" w:hAnsi="Times New Roman"/>
          <w:bCs/>
          <w:sz w:val="24"/>
        </w:rPr>
        <w:t xml:space="preserve"> a graf</w:t>
      </w:r>
      <w:r>
        <w:rPr>
          <w:rFonts w:ascii="Times New Roman" w:hAnsi="Times New Roman"/>
          <w:bCs/>
          <w:sz w:val="24"/>
        </w:rPr>
        <w:t xml:space="preserve"> obsahuj</w:t>
      </w:r>
      <w:r w:rsidR="00C06311">
        <w:rPr>
          <w:rFonts w:ascii="Times New Roman" w:hAnsi="Times New Roman"/>
          <w:bCs/>
          <w:sz w:val="24"/>
        </w:rPr>
        <w:t>í</w:t>
      </w:r>
      <w:r>
        <w:rPr>
          <w:rFonts w:ascii="Times New Roman" w:hAnsi="Times New Roman"/>
          <w:bCs/>
          <w:sz w:val="24"/>
        </w:rPr>
        <w:t xml:space="preserve"> předpisy nájemného a nezaplacené dluhy v jednotlivých letech – jejich meziroční a kumulativní nárůsty. Pro zlepšení způsobu vymáhání dluhů byla zkrácena doba nájmu na 6 – 12 měsíců. Postup pro řešení pohledávek na nájemném a službách upravuje instrukce </w:t>
      </w:r>
      <w:proofErr w:type="spellStart"/>
      <w:r>
        <w:rPr>
          <w:rFonts w:ascii="Times New Roman" w:hAnsi="Times New Roman"/>
          <w:bCs/>
          <w:sz w:val="24"/>
        </w:rPr>
        <w:t>QI</w:t>
      </w:r>
      <w:proofErr w:type="spellEnd"/>
      <w:r>
        <w:rPr>
          <w:rFonts w:ascii="Times New Roman" w:hAnsi="Times New Roman"/>
          <w:bCs/>
          <w:sz w:val="24"/>
        </w:rPr>
        <w:t xml:space="preserve"> 61 – 17 – 05 Řešení pohledávek na nájemném a službách spojených s užíváním bytů.</w:t>
      </w:r>
    </w:p>
    <w:p w:rsidR="00044F6A" w:rsidRPr="00405574" w:rsidRDefault="00044F6A" w:rsidP="008C0F4B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3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1141"/>
        <w:gridCol w:w="1127"/>
        <w:gridCol w:w="1418"/>
        <w:gridCol w:w="1276"/>
        <w:gridCol w:w="1134"/>
      </w:tblGrid>
      <w:tr w:rsidR="00B97270" w:rsidRPr="00B97270" w:rsidTr="006F5A89">
        <w:trPr>
          <w:trHeight w:val="12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Stav k </w:t>
            </w:r>
            <w:proofErr w:type="gramStart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31.12</w:t>
            </w:r>
            <w:proofErr w:type="gramEnd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. daného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Předpis nájemné + služby celkem v tis. Kč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Pohledávka celkem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br/>
            </w: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Meziroční nárůst dluhu </w:t>
            </w:r>
            <w:r w:rsidR="00B179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br/>
            </w:r>
            <w:r w:rsidR="00B17951"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Kumulativní nárůst dluhu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br/>
            </w:r>
            <w:r w:rsidR="00B17951"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Nájemné v Kč na 1 </w:t>
            </w:r>
            <w:proofErr w:type="spellStart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m</w:t>
            </w: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cs-CZ"/>
              </w:rPr>
              <w:t>2</w:t>
            </w:r>
            <w:proofErr w:type="spellEnd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/měsíc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Meziroční nárůst nájemného v Kč na  </w:t>
            </w:r>
            <w:r w:rsidR="006F5A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br/>
            </w: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1 </w:t>
            </w:r>
            <w:proofErr w:type="spellStart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m</w:t>
            </w: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cs-CZ"/>
              </w:rPr>
              <w:t>2</w:t>
            </w:r>
            <w:proofErr w:type="spellEnd"/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/měsíc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155 000,00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49 007,92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166 938,41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56 009,43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7 001,51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7 001,51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5,38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176 416,39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76 123,09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20 113,66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27 115,17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7,81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180 322,18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86 481,77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10 358,68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37 473,85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13,20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182 344,56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94 913,89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8 432,12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45 905,97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8,53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186 683,54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104 040,15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9 126,26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55 032,23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9,93</w:t>
            </w:r>
          </w:p>
        </w:tc>
      </w:tr>
      <w:tr w:rsidR="00B97270" w:rsidRPr="00B97270" w:rsidTr="006F5A8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192 980,00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113 505,74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9 465,59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64 497,82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11,62</w:t>
            </w:r>
          </w:p>
        </w:tc>
      </w:tr>
      <w:tr w:rsidR="00B97270" w:rsidRPr="00B97270" w:rsidTr="006F5A89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177 478,58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114 534,28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1 028,54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65 526,36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270" w:rsidRPr="00B97270" w:rsidRDefault="00B97270" w:rsidP="00B972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72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0,00</w:t>
            </w:r>
          </w:p>
        </w:tc>
      </w:tr>
    </w:tbl>
    <w:p w:rsidR="00643E22" w:rsidRDefault="00643E22" w:rsidP="00643E22">
      <w:pPr>
        <w:jc w:val="both"/>
        <w:rPr>
          <w:color w:val="1F497D"/>
        </w:rPr>
      </w:pPr>
    </w:p>
    <w:p w:rsidR="008A0CC5" w:rsidRDefault="008A0CC5" w:rsidP="003B769A">
      <w:pPr>
        <w:ind w:left="357"/>
        <w:jc w:val="both"/>
        <w:rPr>
          <w:rFonts w:ascii="Times New Roman" w:hAnsi="Times New Roman"/>
          <w:bCs/>
          <w:sz w:val="24"/>
        </w:rPr>
      </w:pPr>
    </w:p>
    <w:p w:rsidR="00044F6A" w:rsidRDefault="00044F6A" w:rsidP="00C06311">
      <w:pPr>
        <w:ind w:left="357"/>
        <w:jc w:val="center"/>
        <w:rPr>
          <w:rFonts w:ascii="Times New Roman" w:hAnsi="Times New Roman"/>
          <w:bCs/>
          <w:sz w:val="24"/>
        </w:rPr>
      </w:pPr>
    </w:p>
    <w:p w:rsidR="00FA53E9" w:rsidRDefault="00FA53E9" w:rsidP="00C06311">
      <w:pPr>
        <w:ind w:left="357"/>
        <w:rPr>
          <w:rFonts w:ascii="Times New Roman" w:hAnsi="Times New Roman"/>
          <w:bCs/>
          <w:sz w:val="24"/>
        </w:rPr>
      </w:pPr>
      <w:r>
        <w:rPr>
          <w:noProof/>
          <w:lang w:eastAsia="cs-CZ"/>
        </w:rPr>
        <w:drawing>
          <wp:inline distT="0" distB="0" distL="0" distR="0" wp14:anchorId="466DCB98" wp14:editId="327030E7">
            <wp:extent cx="5375082" cy="4142630"/>
            <wp:effectExtent l="0" t="0" r="0" b="0"/>
            <wp:docPr id="11" name="Graf 11" title="tis. Kč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769A" w:rsidRDefault="003B769A" w:rsidP="003B769A">
      <w:pPr>
        <w:ind w:left="35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Graf – </w:t>
      </w:r>
      <w:r w:rsidRPr="003B769A">
        <w:rPr>
          <w:rFonts w:ascii="Times New Roman" w:hAnsi="Times New Roman"/>
          <w:b/>
          <w:bCs/>
          <w:sz w:val="24"/>
        </w:rPr>
        <w:t>Porovnání výše předpisu na nájemném a službách</w:t>
      </w:r>
      <w:r w:rsidR="00044F6A">
        <w:rPr>
          <w:rFonts w:ascii="Times New Roman" w:hAnsi="Times New Roman"/>
          <w:b/>
          <w:bCs/>
          <w:sz w:val="24"/>
        </w:rPr>
        <w:t xml:space="preserve"> </w:t>
      </w:r>
      <w:r w:rsidRPr="003B769A">
        <w:rPr>
          <w:rFonts w:ascii="Times New Roman" w:hAnsi="Times New Roman"/>
          <w:b/>
          <w:bCs/>
          <w:sz w:val="24"/>
        </w:rPr>
        <w:t>a</w:t>
      </w:r>
      <w:r w:rsidR="00044F6A">
        <w:rPr>
          <w:rFonts w:ascii="Times New Roman" w:hAnsi="Times New Roman"/>
          <w:b/>
          <w:bCs/>
          <w:sz w:val="24"/>
        </w:rPr>
        <w:t xml:space="preserve"> </w:t>
      </w:r>
      <w:r w:rsidRPr="003B769A">
        <w:rPr>
          <w:rFonts w:ascii="Times New Roman" w:hAnsi="Times New Roman"/>
          <w:b/>
          <w:bCs/>
          <w:sz w:val="24"/>
        </w:rPr>
        <w:t xml:space="preserve">výše pohledávek v letech </w:t>
      </w:r>
      <w:r w:rsidRPr="003B769A">
        <w:rPr>
          <w:rFonts w:ascii="Times New Roman" w:hAnsi="Times New Roman"/>
          <w:b/>
          <w:bCs/>
          <w:sz w:val="24"/>
        </w:rPr>
        <w:br/>
      </w:r>
      <w:r w:rsidR="00044F6A">
        <w:rPr>
          <w:rFonts w:ascii="Times New Roman" w:hAnsi="Times New Roman"/>
          <w:b/>
          <w:bCs/>
          <w:sz w:val="24"/>
        </w:rPr>
        <w:t xml:space="preserve">            </w:t>
      </w:r>
      <w:r w:rsidRPr="003B769A">
        <w:rPr>
          <w:rFonts w:ascii="Times New Roman" w:hAnsi="Times New Roman"/>
          <w:b/>
          <w:bCs/>
          <w:sz w:val="24"/>
        </w:rPr>
        <w:t xml:space="preserve">2006 </w:t>
      </w:r>
      <w:r>
        <w:rPr>
          <w:rFonts w:ascii="Times New Roman" w:hAnsi="Times New Roman"/>
          <w:b/>
          <w:bCs/>
          <w:sz w:val="24"/>
        </w:rPr>
        <w:t>–</w:t>
      </w:r>
      <w:r w:rsidRPr="003B769A">
        <w:rPr>
          <w:rFonts w:ascii="Times New Roman" w:hAnsi="Times New Roman"/>
          <w:b/>
          <w:bCs/>
          <w:sz w:val="24"/>
        </w:rPr>
        <w:t xml:space="preserve"> 2013</w:t>
      </w:r>
      <w:r>
        <w:rPr>
          <w:rFonts w:ascii="Times New Roman" w:hAnsi="Times New Roman"/>
          <w:b/>
          <w:bCs/>
          <w:sz w:val="24"/>
        </w:rPr>
        <w:t>.</w:t>
      </w:r>
    </w:p>
    <w:p w:rsidR="003B769A" w:rsidRDefault="003B769A" w:rsidP="003B769A">
      <w:pPr>
        <w:jc w:val="both"/>
        <w:rPr>
          <w:color w:val="1F497D"/>
        </w:rPr>
      </w:pPr>
      <w:r>
        <w:rPr>
          <w:color w:val="1F497D"/>
        </w:rPr>
        <w:tab/>
      </w:r>
    </w:p>
    <w:p w:rsidR="003B769A" w:rsidRDefault="003B769A" w:rsidP="003B769A">
      <w:pPr>
        <w:jc w:val="center"/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1F942789" wp14:editId="299275DD">
            <wp:extent cx="4508389" cy="3132814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614A" w:rsidRDefault="00DB614A" w:rsidP="00DB614A">
      <w:pPr>
        <w:jc w:val="both"/>
        <w:rPr>
          <w:color w:val="1F497D"/>
        </w:rPr>
      </w:pPr>
    </w:p>
    <w:p w:rsidR="00044F6A" w:rsidRDefault="00044F6A" w:rsidP="00DB614A">
      <w:pPr>
        <w:ind w:left="357"/>
        <w:jc w:val="both"/>
        <w:rPr>
          <w:rFonts w:ascii="Times New Roman" w:hAnsi="Times New Roman"/>
          <w:bCs/>
          <w:sz w:val="24"/>
        </w:rPr>
      </w:pPr>
    </w:p>
    <w:p w:rsidR="00044F6A" w:rsidRDefault="00044F6A" w:rsidP="00DB614A">
      <w:pPr>
        <w:ind w:left="357"/>
        <w:jc w:val="both"/>
        <w:rPr>
          <w:rFonts w:ascii="Times New Roman" w:hAnsi="Times New Roman"/>
          <w:bCs/>
          <w:sz w:val="24"/>
        </w:rPr>
      </w:pPr>
    </w:p>
    <w:p w:rsidR="00DB614A" w:rsidRDefault="00DB614A" w:rsidP="00DB614A">
      <w:pPr>
        <w:ind w:left="35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Graf – </w:t>
      </w:r>
      <w:r w:rsidRPr="003B769A">
        <w:rPr>
          <w:rFonts w:ascii="Times New Roman" w:hAnsi="Times New Roman"/>
          <w:b/>
          <w:bCs/>
          <w:sz w:val="24"/>
        </w:rPr>
        <w:t xml:space="preserve">Porovnání </w:t>
      </w:r>
      <w:r>
        <w:rPr>
          <w:rFonts w:ascii="Times New Roman" w:hAnsi="Times New Roman"/>
          <w:b/>
          <w:bCs/>
          <w:sz w:val="24"/>
        </w:rPr>
        <w:t>nárůstu dluhu</w:t>
      </w:r>
      <w:r w:rsidRPr="003B769A">
        <w:rPr>
          <w:rFonts w:ascii="Times New Roman" w:hAnsi="Times New Roman"/>
          <w:b/>
          <w:bCs/>
          <w:sz w:val="24"/>
        </w:rPr>
        <w:t xml:space="preserve"> v letech 2006 </w:t>
      </w:r>
      <w:r>
        <w:rPr>
          <w:rFonts w:ascii="Times New Roman" w:hAnsi="Times New Roman"/>
          <w:b/>
          <w:bCs/>
          <w:sz w:val="24"/>
        </w:rPr>
        <w:t>–</w:t>
      </w:r>
      <w:r w:rsidRPr="003B769A">
        <w:rPr>
          <w:rFonts w:ascii="Times New Roman" w:hAnsi="Times New Roman"/>
          <w:b/>
          <w:bCs/>
          <w:sz w:val="24"/>
        </w:rPr>
        <w:t xml:space="preserve"> 2013</w:t>
      </w:r>
      <w:r>
        <w:rPr>
          <w:rFonts w:ascii="Times New Roman" w:hAnsi="Times New Roman"/>
          <w:b/>
          <w:bCs/>
          <w:sz w:val="24"/>
        </w:rPr>
        <w:t>.</w:t>
      </w:r>
    </w:p>
    <w:p w:rsidR="00044F6A" w:rsidRDefault="00044F6A" w:rsidP="00DB614A">
      <w:pPr>
        <w:ind w:left="357"/>
        <w:jc w:val="both"/>
        <w:rPr>
          <w:rFonts w:ascii="Times New Roman" w:hAnsi="Times New Roman"/>
          <w:bCs/>
          <w:sz w:val="24"/>
        </w:rPr>
      </w:pPr>
    </w:p>
    <w:p w:rsidR="00DB614A" w:rsidRDefault="00044F6A" w:rsidP="00044F6A">
      <w:pPr>
        <w:jc w:val="center"/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2604452D" wp14:editId="5224E99B">
            <wp:extent cx="4898003" cy="3188473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0030" w:rsidRDefault="00330030" w:rsidP="00044F6A">
      <w:pPr>
        <w:jc w:val="center"/>
        <w:rPr>
          <w:color w:val="1F497D"/>
        </w:rPr>
      </w:pPr>
    </w:p>
    <w:p w:rsidR="00330030" w:rsidRDefault="00330030" w:rsidP="00061316">
      <w:pPr>
        <w:jc w:val="both"/>
        <w:rPr>
          <w:color w:val="1F497D"/>
        </w:rPr>
      </w:pPr>
    </w:p>
    <w:p w:rsidR="00061316" w:rsidRDefault="00061316" w:rsidP="00061316">
      <w:pPr>
        <w:jc w:val="both"/>
        <w:rPr>
          <w:color w:val="1F497D"/>
        </w:rPr>
      </w:pPr>
    </w:p>
    <w:p w:rsidR="00166823" w:rsidRDefault="00166823" w:rsidP="00061316">
      <w:pPr>
        <w:jc w:val="both"/>
        <w:rPr>
          <w:color w:val="1F497D"/>
        </w:rPr>
      </w:pPr>
    </w:p>
    <w:p w:rsidR="00166823" w:rsidRDefault="00166823" w:rsidP="00061316">
      <w:pPr>
        <w:jc w:val="both"/>
        <w:rPr>
          <w:color w:val="1F497D"/>
        </w:rPr>
      </w:pPr>
    </w:p>
    <w:p w:rsidR="00166823" w:rsidRDefault="00166823" w:rsidP="00061316">
      <w:pPr>
        <w:jc w:val="both"/>
        <w:rPr>
          <w:color w:val="1F497D"/>
        </w:rPr>
      </w:pPr>
    </w:p>
    <w:p w:rsidR="00061316" w:rsidRDefault="00061316" w:rsidP="00061316">
      <w:pPr>
        <w:ind w:left="35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Graf – </w:t>
      </w:r>
      <w:r w:rsidRPr="003B769A">
        <w:rPr>
          <w:rFonts w:ascii="Times New Roman" w:hAnsi="Times New Roman"/>
          <w:b/>
          <w:bCs/>
          <w:sz w:val="24"/>
        </w:rPr>
        <w:t xml:space="preserve">Porovnání </w:t>
      </w:r>
      <w:r>
        <w:rPr>
          <w:rFonts w:ascii="Times New Roman" w:hAnsi="Times New Roman"/>
          <w:b/>
          <w:bCs/>
          <w:sz w:val="24"/>
        </w:rPr>
        <w:t>nárůstu nájemného v Kč/</w:t>
      </w:r>
      <w:proofErr w:type="spellStart"/>
      <w:r>
        <w:rPr>
          <w:rFonts w:ascii="Times New Roman" w:hAnsi="Times New Roman"/>
          <w:b/>
          <w:bCs/>
          <w:sz w:val="24"/>
        </w:rPr>
        <w:t>m</w:t>
      </w:r>
      <w:r w:rsidRPr="00061316">
        <w:rPr>
          <w:rFonts w:ascii="Times New Roman" w:hAnsi="Times New Roman"/>
          <w:b/>
          <w:bCs/>
          <w:sz w:val="24"/>
          <w:vertAlign w:val="superscript"/>
        </w:rPr>
        <w:t>2</w:t>
      </w:r>
      <w:proofErr w:type="spellEnd"/>
      <w:r w:rsidRPr="003B769A">
        <w:rPr>
          <w:rFonts w:ascii="Times New Roman" w:hAnsi="Times New Roman"/>
          <w:b/>
          <w:bCs/>
          <w:sz w:val="24"/>
        </w:rPr>
        <w:t xml:space="preserve"> v letech 2006 </w:t>
      </w:r>
      <w:r>
        <w:rPr>
          <w:rFonts w:ascii="Times New Roman" w:hAnsi="Times New Roman"/>
          <w:b/>
          <w:bCs/>
          <w:sz w:val="24"/>
        </w:rPr>
        <w:t>–</w:t>
      </w:r>
      <w:r w:rsidRPr="003B769A">
        <w:rPr>
          <w:rFonts w:ascii="Times New Roman" w:hAnsi="Times New Roman"/>
          <w:b/>
          <w:bCs/>
          <w:sz w:val="24"/>
        </w:rPr>
        <w:t xml:space="preserve"> 2013</w:t>
      </w:r>
      <w:r>
        <w:rPr>
          <w:rFonts w:ascii="Times New Roman" w:hAnsi="Times New Roman"/>
          <w:b/>
          <w:bCs/>
          <w:sz w:val="24"/>
        </w:rPr>
        <w:t>.</w:t>
      </w:r>
    </w:p>
    <w:p w:rsidR="00061316" w:rsidRDefault="00061316" w:rsidP="00061316">
      <w:pPr>
        <w:ind w:left="357"/>
        <w:jc w:val="both"/>
        <w:rPr>
          <w:rFonts w:ascii="Times New Roman" w:hAnsi="Times New Roman"/>
          <w:b/>
          <w:bCs/>
          <w:sz w:val="24"/>
        </w:rPr>
      </w:pPr>
    </w:p>
    <w:p w:rsidR="00061316" w:rsidRDefault="00061316" w:rsidP="00061316">
      <w:pPr>
        <w:jc w:val="center"/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6B829364" wp14:editId="16B7E17D">
            <wp:extent cx="5041126" cy="3967701"/>
            <wp:effectExtent l="0" t="0" r="762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061316" w:rsidSect="000F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66C"/>
    <w:multiLevelType w:val="hybridMultilevel"/>
    <w:tmpl w:val="D89A1706"/>
    <w:lvl w:ilvl="0" w:tplc="CAA6CB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E6C"/>
    <w:multiLevelType w:val="hybridMultilevel"/>
    <w:tmpl w:val="A19A0622"/>
    <w:lvl w:ilvl="0" w:tplc="44DADD3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2"/>
    <w:rsid w:val="00044F6A"/>
    <w:rsid w:val="00052164"/>
    <w:rsid w:val="00061316"/>
    <w:rsid w:val="000B4FF9"/>
    <w:rsid w:val="000C31DA"/>
    <w:rsid w:val="000F09A7"/>
    <w:rsid w:val="0010111F"/>
    <w:rsid w:val="00150A9A"/>
    <w:rsid w:val="001539DB"/>
    <w:rsid w:val="00166823"/>
    <w:rsid w:val="00176C49"/>
    <w:rsid w:val="001878BC"/>
    <w:rsid w:val="001C5CEE"/>
    <w:rsid w:val="001E7C86"/>
    <w:rsid w:val="00240A52"/>
    <w:rsid w:val="00244E24"/>
    <w:rsid w:val="002C6485"/>
    <w:rsid w:val="00302F7E"/>
    <w:rsid w:val="00313574"/>
    <w:rsid w:val="00326818"/>
    <w:rsid w:val="00330030"/>
    <w:rsid w:val="003A26DE"/>
    <w:rsid w:val="003B769A"/>
    <w:rsid w:val="003F280A"/>
    <w:rsid w:val="00405574"/>
    <w:rsid w:val="00415A5F"/>
    <w:rsid w:val="004B7DB8"/>
    <w:rsid w:val="005012DC"/>
    <w:rsid w:val="005A0BC3"/>
    <w:rsid w:val="005D3BB8"/>
    <w:rsid w:val="005F37B8"/>
    <w:rsid w:val="00627958"/>
    <w:rsid w:val="00643E22"/>
    <w:rsid w:val="006E5FB9"/>
    <w:rsid w:val="006F5A89"/>
    <w:rsid w:val="006F6846"/>
    <w:rsid w:val="007B1C88"/>
    <w:rsid w:val="007E0951"/>
    <w:rsid w:val="007E0B08"/>
    <w:rsid w:val="007F1A0D"/>
    <w:rsid w:val="008673BE"/>
    <w:rsid w:val="008A0CC5"/>
    <w:rsid w:val="008C09E9"/>
    <w:rsid w:val="008C0F4B"/>
    <w:rsid w:val="008F54A7"/>
    <w:rsid w:val="009101D1"/>
    <w:rsid w:val="009407C4"/>
    <w:rsid w:val="00963F75"/>
    <w:rsid w:val="0097710B"/>
    <w:rsid w:val="009938F1"/>
    <w:rsid w:val="009A3938"/>
    <w:rsid w:val="009B254E"/>
    <w:rsid w:val="009C1A1C"/>
    <w:rsid w:val="00A05881"/>
    <w:rsid w:val="00A62A31"/>
    <w:rsid w:val="00A869D8"/>
    <w:rsid w:val="00A90ECD"/>
    <w:rsid w:val="00AB50A5"/>
    <w:rsid w:val="00AE1EFC"/>
    <w:rsid w:val="00B042C1"/>
    <w:rsid w:val="00B17951"/>
    <w:rsid w:val="00B34097"/>
    <w:rsid w:val="00B70E3F"/>
    <w:rsid w:val="00B828C6"/>
    <w:rsid w:val="00B97270"/>
    <w:rsid w:val="00BA2CAF"/>
    <w:rsid w:val="00C02309"/>
    <w:rsid w:val="00C04C60"/>
    <w:rsid w:val="00C06311"/>
    <w:rsid w:val="00C3370B"/>
    <w:rsid w:val="00C656DB"/>
    <w:rsid w:val="00C817C3"/>
    <w:rsid w:val="00CF285B"/>
    <w:rsid w:val="00D1137F"/>
    <w:rsid w:val="00D96BF3"/>
    <w:rsid w:val="00DB614A"/>
    <w:rsid w:val="00DF4A08"/>
    <w:rsid w:val="00E45CA9"/>
    <w:rsid w:val="00E50BEC"/>
    <w:rsid w:val="00E64E96"/>
    <w:rsid w:val="00E954C3"/>
    <w:rsid w:val="00E9632C"/>
    <w:rsid w:val="00EB449A"/>
    <w:rsid w:val="00ED13EF"/>
    <w:rsid w:val="00F07ED2"/>
    <w:rsid w:val="00FA53E9"/>
    <w:rsid w:val="00FD19F6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A5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A5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A5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A5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ymp\mmpusr$\Breitfelderova\_Dokumenty_\DOKUMENTY%20-%20BYT\Poplatkov&#233;%20pr&#225;zdniny%202014\P&#345;&#237;loha%20&#269;.%206%20-%20tabulky%20pro%20FK%20a%20FV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26609565653823"/>
          <c:y val="3.1463041937631761E-2"/>
          <c:w val="0.86649717374669855"/>
          <c:h val="0.77285389395364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'Vývoj dluhů na N+S 2011-13'!$C$5:$C$6</c:f>
              <c:strCache>
                <c:ptCount val="1"/>
                <c:pt idx="0">
                  <c:v>předpis měsíční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'Vývoj dluhů na N+S 2011-13'!$B$7:$B$9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'Vývoj dluhů na N+S 2011-13'!$C$7:$C$9</c:f>
              <c:numCache>
                <c:formatCode>#,##0</c:formatCode>
                <c:ptCount val="3"/>
                <c:pt idx="0">
                  <c:v>183793</c:v>
                </c:pt>
                <c:pt idx="1">
                  <c:v>185887</c:v>
                </c:pt>
                <c:pt idx="2">
                  <c:v>171422</c:v>
                </c:pt>
              </c:numCache>
            </c:numRef>
          </c:val>
        </c:ser>
        <c:ser>
          <c:idx val="1"/>
          <c:order val="1"/>
          <c:tx>
            <c:strRef>
              <c:f>'Vývoj dluhů na N+S 2011-13'!$D$5:$D$6</c:f>
              <c:strCache>
                <c:ptCount val="1"/>
                <c:pt idx="0">
                  <c:v>odpisy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'Vývoj dluhů na N+S 2011-13'!$B$7:$B$9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'Vývoj dluhů na N+S 2011-13'!$D$7:$D$9</c:f>
              <c:numCache>
                <c:formatCode>#,##0</c:formatCode>
                <c:ptCount val="3"/>
                <c:pt idx="0">
                  <c:v>4917</c:v>
                </c:pt>
                <c:pt idx="1">
                  <c:v>2254</c:v>
                </c:pt>
                <c:pt idx="2">
                  <c:v>6744</c:v>
                </c:pt>
              </c:numCache>
            </c:numRef>
          </c:val>
        </c:ser>
        <c:ser>
          <c:idx val="2"/>
          <c:order val="2"/>
          <c:tx>
            <c:strRef>
              <c:f>'Vývoj dluhů na N+S 2011-13'!$E$5:$E$6</c:f>
              <c:strCache>
                <c:ptCount val="1"/>
                <c:pt idx="0">
                  <c:v>platby 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'Vývoj dluhů na N+S 2011-13'!$B$7:$B$9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'Vývoj dluhů na N+S 2011-13'!$E$7:$E$9</c:f>
              <c:numCache>
                <c:formatCode>#,##0</c:formatCode>
                <c:ptCount val="3"/>
                <c:pt idx="0">
                  <c:v>174863</c:v>
                </c:pt>
                <c:pt idx="1">
                  <c:v>176477</c:v>
                </c:pt>
                <c:pt idx="2">
                  <c:v>170317</c:v>
                </c:pt>
              </c:numCache>
            </c:numRef>
          </c:val>
        </c:ser>
        <c:ser>
          <c:idx val="3"/>
          <c:order val="3"/>
          <c:tx>
            <c:strRef>
              <c:f>'Vývoj dluhů na N+S 2011-13'!$F$5:$F$6</c:f>
              <c:strCache>
                <c:ptCount val="1"/>
                <c:pt idx="0">
                  <c:v>dluh 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'Vývoj dluhů na N+S 2011-13'!$B$7:$B$9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'Vývoj dluhů na N+S 2011-13'!$F$7:$F$9</c:f>
              <c:numCache>
                <c:formatCode>#,##0</c:formatCode>
                <c:ptCount val="3"/>
                <c:pt idx="0">
                  <c:v>13847</c:v>
                </c:pt>
                <c:pt idx="1">
                  <c:v>11664</c:v>
                </c:pt>
                <c:pt idx="2">
                  <c:v>7849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10624"/>
        <c:axId val="31192192"/>
      </c:barChart>
      <c:catAx>
        <c:axId val="28810624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cs-CZ"/>
          </a:p>
        </c:txPr>
        <c:crossAx val="31192192"/>
        <c:crosses val="autoZero"/>
        <c:auto val="1"/>
        <c:lblAlgn val="ctr"/>
        <c:lblOffset val="100"/>
        <c:noMultiLvlLbl val="0"/>
      </c:catAx>
      <c:valAx>
        <c:axId val="311921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50"/>
            </a:pPr>
            <a:endParaRPr lang="cs-CZ"/>
          </a:p>
        </c:txPr>
        <c:crossAx val="28810624"/>
        <c:crosses val="autoZero"/>
        <c:crossBetween val="between"/>
        <c:majorUnit val="20000"/>
        <c:dispUnits>
          <c:builtInUnit val="thousands"/>
          <c:dispUnitsLbl>
            <c:layout/>
            <c:tx>
              <c:rich>
                <a:bodyPr/>
                <a:lstStyle/>
                <a:p>
                  <a:pPr>
                    <a:defRPr sz="1000"/>
                  </a:pPr>
                  <a:r>
                    <a:rPr lang="cs-CZ" sz="1000"/>
                    <a:t>Mil. Kč.</a:t>
                  </a: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2.5234533771052912E-2"/>
          <c:y val="0.8646287874266736"/>
          <c:w val="0.96081043944742017"/>
          <c:h val="0.13537121257332627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46196394872129"/>
          <c:y val="3.4227416840087163E-2"/>
          <c:w val="0.83286818073360669"/>
          <c:h val="0.79605652347105738"/>
        </c:manualLayout>
      </c:layout>
      <c:lineChart>
        <c:grouping val="stacked"/>
        <c:varyColors val="0"/>
        <c:ser>
          <c:idx val="0"/>
          <c:order val="0"/>
          <c:tx>
            <c:strRef>
              <c:f>'meziroční porovnání 2006-13'!$E$53</c:f>
              <c:strCache>
                <c:ptCount val="1"/>
                <c:pt idx="0">
                  <c:v>Meziroční nárůst dluhu v tis. Kč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'meziroční porovnání 2006-13'!$G$54:$G$61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2006-13'!$E$54:$E$61</c:f>
              <c:numCache>
                <c:formatCode>#,##0.00</c:formatCode>
                <c:ptCount val="8"/>
                <c:pt idx="0">
                  <c:v>0</c:v>
                </c:pt>
                <c:pt idx="1">
                  <c:v>7001.510000000002</c:v>
                </c:pt>
                <c:pt idx="2">
                  <c:v>20113.659999999996</c:v>
                </c:pt>
                <c:pt idx="3">
                  <c:v>10358.680000000008</c:v>
                </c:pt>
                <c:pt idx="4">
                  <c:v>8432.1199999999953</c:v>
                </c:pt>
                <c:pt idx="5">
                  <c:v>9126.2599999999948</c:v>
                </c:pt>
                <c:pt idx="6">
                  <c:v>9465.5900000000111</c:v>
                </c:pt>
                <c:pt idx="7">
                  <c:v>1028.5399999999936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'meziroční porovnání 2006-13'!$F$53</c:f>
              <c:strCache>
                <c:ptCount val="1"/>
                <c:pt idx="0">
                  <c:v>Kumulativní nárůst dluhu v tis. Kč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'meziroční porovnání 2006-13'!$G$54:$G$61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2006-13'!$F$54:$F$61</c:f>
              <c:numCache>
                <c:formatCode>#,##0.00</c:formatCode>
                <c:ptCount val="8"/>
                <c:pt idx="0">
                  <c:v>0</c:v>
                </c:pt>
                <c:pt idx="1">
                  <c:v>7001.510000000002</c:v>
                </c:pt>
                <c:pt idx="2">
                  <c:v>27115.17</c:v>
                </c:pt>
                <c:pt idx="3">
                  <c:v>37473.850000000006</c:v>
                </c:pt>
                <c:pt idx="4">
                  <c:v>45905.97</c:v>
                </c:pt>
                <c:pt idx="5">
                  <c:v>55032.229999999996</c:v>
                </c:pt>
                <c:pt idx="6">
                  <c:v>64497.820000000007</c:v>
                </c:pt>
                <c:pt idx="7">
                  <c:v>65526.36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42144"/>
        <c:axId val="31943680"/>
      </c:lineChart>
      <c:catAx>
        <c:axId val="3194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943680"/>
        <c:crosses val="autoZero"/>
        <c:auto val="1"/>
        <c:lblAlgn val="ctr"/>
        <c:lblOffset val="100"/>
        <c:noMultiLvlLbl val="0"/>
      </c:catAx>
      <c:valAx>
        <c:axId val="319436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9421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850645322227283E-2"/>
          <c:y val="0.9188843573942187"/>
          <c:w val="0.97149354677772715"/>
          <c:h val="8.1115642605781246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593436582016647E-2"/>
          <c:y val="3.1463034917002364E-2"/>
          <c:w val="0.89653091376822935"/>
          <c:h val="0.74168143660411101"/>
        </c:manualLayout>
      </c:layout>
      <c:lineChart>
        <c:grouping val="stacked"/>
        <c:varyColors val="0"/>
        <c:ser>
          <c:idx val="1"/>
          <c:order val="0"/>
          <c:tx>
            <c:strRef>
              <c:f>'meziroční porovnání 2006-13'!$C$74</c:f>
              <c:strCache>
                <c:ptCount val="1"/>
                <c:pt idx="0">
                  <c:v>Nájemné v Kč na 1 m2/měsíc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'meziroční porovnání 2006-13'!$B$75:$B$82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2006-13'!$C$75:$C$82</c:f>
              <c:numCache>
                <c:formatCode>#,##0.00</c:formatCode>
                <c:ptCount val="8"/>
                <c:pt idx="0">
                  <c:v>25.63</c:v>
                </c:pt>
                <c:pt idx="1">
                  <c:v>31.01</c:v>
                </c:pt>
                <c:pt idx="2">
                  <c:v>38.82</c:v>
                </c:pt>
                <c:pt idx="3">
                  <c:v>52.02</c:v>
                </c:pt>
                <c:pt idx="4">
                  <c:v>60.55</c:v>
                </c:pt>
                <c:pt idx="5">
                  <c:v>70.48</c:v>
                </c:pt>
                <c:pt idx="6">
                  <c:v>82.1</c:v>
                </c:pt>
                <c:pt idx="7">
                  <c:v>82.1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'meziroční porovnání 2006-13'!$D$74</c:f>
              <c:strCache>
                <c:ptCount val="1"/>
                <c:pt idx="0">
                  <c:v>Meziroční nárůst nájemného v Kč na 1 m2/měsíc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</c:spPr>
          </c:marker>
          <c:cat>
            <c:numRef>
              <c:f>'meziroční porovnání 2006-13'!$B$75:$B$82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2006-13'!$D$75:$D$82</c:f>
              <c:numCache>
                <c:formatCode>#,##0.00</c:formatCode>
                <c:ptCount val="8"/>
                <c:pt idx="0">
                  <c:v>0</c:v>
                </c:pt>
                <c:pt idx="1">
                  <c:v>5.3800000000000026</c:v>
                </c:pt>
                <c:pt idx="2">
                  <c:v>7.8099999999999987</c:v>
                </c:pt>
                <c:pt idx="3">
                  <c:v>13.200000000000003</c:v>
                </c:pt>
                <c:pt idx="4">
                  <c:v>8.529999999999994</c:v>
                </c:pt>
                <c:pt idx="5">
                  <c:v>9.9300000000000068</c:v>
                </c:pt>
                <c:pt idx="6">
                  <c:v>11.61999999999999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51872"/>
        <c:axId val="32580736"/>
      </c:lineChart>
      <c:catAx>
        <c:axId val="31951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2580736"/>
        <c:crosses val="autoZero"/>
        <c:auto val="1"/>
        <c:lblAlgn val="ctr"/>
        <c:lblOffset val="100"/>
        <c:noMultiLvlLbl val="0"/>
      </c:catAx>
      <c:valAx>
        <c:axId val="325807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9518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2481966244285726E-2"/>
          <c:y val="0.84786030967666504"/>
          <c:w val="0.9333679233804385"/>
          <c:h val="0.15160460317754293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409706658204254E-2"/>
          <c:y val="2.3579853926433893E-2"/>
          <c:w val="0.88411842096564131"/>
          <c:h val="0.821052032821401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List1!$C$6</c:f>
              <c:strCache>
                <c:ptCount val="1"/>
                <c:pt idx="0">
                  <c:v>pohledávka v Kč  k 31. 12. 2006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List1!$B$7:$B$13</c:f>
              <c:strCache>
                <c:ptCount val="7"/>
                <c:pt idx="0">
                  <c:v>MO Plzeň 1</c:v>
                </c:pt>
                <c:pt idx="1">
                  <c:v>MO Plzeň 2</c:v>
                </c:pt>
                <c:pt idx="2">
                  <c:v>MO Plzeň 3</c:v>
                </c:pt>
                <c:pt idx="3">
                  <c:v>MO Plzeň 4</c:v>
                </c:pt>
                <c:pt idx="4">
                  <c:v>MO Plzeň 5</c:v>
                </c:pt>
                <c:pt idx="5">
                  <c:v>MO Plzeň 6</c:v>
                </c:pt>
                <c:pt idx="6">
                  <c:v>MO Plzeň 9</c:v>
                </c:pt>
              </c:strCache>
            </c:strRef>
          </c:cat>
          <c:val>
            <c:numRef>
              <c:f>List1!$C$7:$C$13</c:f>
              <c:numCache>
                <c:formatCode>#,##0.00</c:formatCode>
                <c:ptCount val="7"/>
                <c:pt idx="0">
                  <c:v>18234332</c:v>
                </c:pt>
                <c:pt idx="1">
                  <c:v>9994255</c:v>
                </c:pt>
                <c:pt idx="2">
                  <c:v>16436526</c:v>
                </c:pt>
                <c:pt idx="3">
                  <c:v>4216283</c:v>
                </c:pt>
                <c:pt idx="4">
                  <c:v>61271</c:v>
                </c:pt>
                <c:pt idx="5">
                  <c:v>17269</c:v>
                </c:pt>
                <c:pt idx="6">
                  <c:v>47984</c:v>
                </c:pt>
              </c:numCache>
            </c:numRef>
          </c:val>
        </c:ser>
        <c:ser>
          <c:idx val="2"/>
          <c:order val="1"/>
          <c:tx>
            <c:strRef>
              <c:f>List1!$D$6</c:f>
              <c:strCache>
                <c:ptCount val="1"/>
                <c:pt idx="0">
                  <c:v>pohledávka v Kč  k 31. 3. 2014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List1!$B$7:$B$13</c:f>
              <c:strCache>
                <c:ptCount val="7"/>
                <c:pt idx="0">
                  <c:v>MO Plzeň 1</c:v>
                </c:pt>
                <c:pt idx="1">
                  <c:v>MO Plzeň 2</c:v>
                </c:pt>
                <c:pt idx="2">
                  <c:v>MO Plzeň 3</c:v>
                </c:pt>
                <c:pt idx="3">
                  <c:v>MO Plzeň 4</c:v>
                </c:pt>
                <c:pt idx="4">
                  <c:v>MO Plzeň 5</c:v>
                </c:pt>
                <c:pt idx="5">
                  <c:v>MO Plzeň 6</c:v>
                </c:pt>
                <c:pt idx="6">
                  <c:v>MO Plzeň 9</c:v>
                </c:pt>
              </c:strCache>
            </c:strRef>
          </c:cat>
          <c:val>
            <c:numRef>
              <c:f>List1!$D$7:$D$13</c:f>
              <c:numCache>
                <c:formatCode>#,##0.00</c:formatCode>
                <c:ptCount val="7"/>
                <c:pt idx="0">
                  <c:v>10654861.880000001</c:v>
                </c:pt>
                <c:pt idx="1">
                  <c:v>6212695.25</c:v>
                </c:pt>
                <c:pt idx="2">
                  <c:v>8672467.9900000002</c:v>
                </c:pt>
                <c:pt idx="3">
                  <c:v>1854026.06</c:v>
                </c:pt>
                <c:pt idx="4">
                  <c:v>6283</c:v>
                </c:pt>
                <c:pt idx="5">
                  <c:v>16277</c:v>
                </c:pt>
                <c:pt idx="6">
                  <c:v>28878</c:v>
                </c:pt>
              </c:numCache>
            </c:numRef>
          </c:val>
        </c:ser>
        <c:ser>
          <c:idx val="3"/>
          <c:order val="2"/>
          <c:tx>
            <c:strRef>
              <c:f>List1!$E$6</c:f>
              <c:strCache>
                <c:ptCount val="1"/>
                <c:pt idx="0">
                  <c:v>Vymoženo vč. odepsaného v Kč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List1!$B$7:$B$13</c:f>
              <c:strCache>
                <c:ptCount val="7"/>
                <c:pt idx="0">
                  <c:v>MO Plzeň 1</c:v>
                </c:pt>
                <c:pt idx="1">
                  <c:v>MO Plzeň 2</c:v>
                </c:pt>
                <c:pt idx="2">
                  <c:v>MO Plzeň 3</c:v>
                </c:pt>
                <c:pt idx="3">
                  <c:v>MO Plzeň 4</c:v>
                </c:pt>
                <c:pt idx="4">
                  <c:v>MO Plzeň 5</c:v>
                </c:pt>
                <c:pt idx="5">
                  <c:v>MO Plzeň 6</c:v>
                </c:pt>
                <c:pt idx="6">
                  <c:v>MO Plzeň 9</c:v>
                </c:pt>
              </c:strCache>
            </c:strRef>
          </c:cat>
          <c:val>
            <c:numRef>
              <c:f>List1!$E$7:$E$13</c:f>
              <c:numCache>
                <c:formatCode>#,##0.00</c:formatCode>
                <c:ptCount val="7"/>
                <c:pt idx="0">
                  <c:v>7579470.1199999992</c:v>
                </c:pt>
                <c:pt idx="1">
                  <c:v>3781559.75</c:v>
                </c:pt>
                <c:pt idx="2">
                  <c:v>7764058.0099999998</c:v>
                </c:pt>
                <c:pt idx="3">
                  <c:v>2362256.94</c:v>
                </c:pt>
                <c:pt idx="4">
                  <c:v>54988</c:v>
                </c:pt>
                <c:pt idx="5">
                  <c:v>992</c:v>
                </c:pt>
                <c:pt idx="6">
                  <c:v>19106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26496"/>
        <c:axId val="31232384"/>
      </c:barChart>
      <c:catAx>
        <c:axId val="31226496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#,##0.0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cs-CZ"/>
          </a:p>
        </c:txPr>
        <c:crossAx val="31232384"/>
        <c:crosses val="autoZero"/>
        <c:auto val="1"/>
        <c:lblAlgn val="ctr"/>
        <c:lblOffset val="100"/>
        <c:noMultiLvlLbl val="0"/>
      </c:catAx>
      <c:valAx>
        <c:axId val="31232384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#,##0.0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31226496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3.7561967464554152E-4"/>
                <c:y val="2.6908945415366751E-2"/>
              </c:manualLayout>
            </c:layout>
            <c:tx>
              <c:rich>
                <a:bodyPr/>
                <a:lstStyle/>
                <a:p>
                  <a:pPr>
                    <a:defRPr sz="900"/>
                  </a:pPr>
                  <a:r>
                    <a:rPr lang="en-US" sz="800"/>
                    <a:t>Miliony</a:t>
                  </a:r>
                  <a:r>
                    <a:rPr lang="cs-CZ" sz="900"/>
                    <a:t> Kč</a:t>
                  </a:r>
                  <a:endParaRPr lang="en-US" sz="900"/>
                </a:p>
              </c:rich>
            </c:tx>
          </c:dispUnitsLbl>
        </c:dispUnits>
      </c:valAx>
    </c:plotArea>
    <c:legend>
      <c:legendPos val="b"/>
      <c:layout>
        <c:manualLayout>
          <c:xMode val="edge"/>
          <c:yMode val="edge"/>
          <c:x val="3.5138236828377675E-2"/>
          <c:y val="0.91516919837464994"/>
          <c:w val="0.94494350178058728"/>
          <c:h val="7.1585766210524107E-2"/>
        </c:manualLayout>
      </c:layout>
      <c:overlay val="0"/>
      <c:spPr>
        <a:noFill/>
      </c:spPr>
      <c:txPr>
        <a:bodyPr/>
        <a:lstStyle/>
        <a:p>
          <a:pPr>
            <a:defRPr sz="900" b="1"/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P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ohledávky do 12 měsíců </a:t>
            </a: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- poměr pracovních úseků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List1!$C$27</c:f>
              <c:strCache>
                <c:ptCount val="1"/>
                <c:pt idx="0">
                  <c:v>pohledávky do 12 měsíců v tis. Kč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679660773536617E-2"/>
                  <c:y val="4.505974960032380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PÚ 20</a:t>
                    </a:r>
                    <a:r>
                      <a:rPr lang="cs-CZ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6%</a:t>
                    </a:r>
                  </a:p>
                </c:rich>
              </c:tx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7.2770559930008749E-2"/>
                  <c:y val="2.117490522018081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PÚ 34 94%</a:t>
                    </a:r>
                  </a:p>
                </c:rich>
              </c:tx>
              <c:showLegendKey val="0"/>
              <c:showVal val="0"/>
              <c:showCatName val="1"/>
              <c:showSerName val="1"/>
              <c:showPercent val="1"/>
              <c:showBubbleSize val="0"/>
            </c:dLbl>
            <c:spPr>
              <a:noFill/>
            </c:spPr>
            <c:showLegendKey val="0"/>
            <c:showVal val="0"/>
            <c:showCatName val="1"/>
            <c:showSerName val="1"/>
            <c:showPercent val="1"/>
            <c:showBubbleSize val="0"/>
            <c:showLeaderLines val="1"/>
          </c:dLbls>
          <c:cat>
            <c:strRef>
              <c:f>List1!$B$28:$B$29</c:f>
              <c:strCache>
                <c:ptCount val="2"/>
                <c:pt idx="0">
                  <c:v>PÚ 20 - nájemné + služby</c:v>
                </c:pt>
                <c:pt idx="1">
                  <c:v>PÚ 34 - nájemné + služby</c:v>
                </c:pt>
              </c:strCache>
            </c:strRef>
          </c:cat>
          <c:val>
            <c:numRef>
              <c:f>List1!$C$28:$C$29</c:f>
              <c:numCache>
                <c:formatCode>#,##0</c:formatCode>
                <c:ptCount val="2"/>
                <c:pt idx="0" formatCode="General">
                  <c:v>463</c:v>
                </c:pt>
                <c:pt idx="1">
                  <c:v>7008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6"/>
      </c:pieChart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</a:t>
            </a:r>
            <a:r>
              <a:rPr lang="en-US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ohledávky </a:t>
            </a:r>
            <a:r>
              <a:rPr lang="cs-CZ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nad</a:t>
            </a:r>
            <a:r>
              <a:rPr lang="en-US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12 měsíců </a:t>
            </a:r>
            <a:r>
              <a:rPr lang="cs-CZ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cs-CZ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cs-CZ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poměr pracovních úseků</a:t>
            </a:r>
            <a:endParaRPr lang="cs-CZ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0"/>
          <c:tx>
            <c:strRef>
              <c:f>List1!$D$27</c:f>
              <c:strCache>
                <c:ptCount val="1"/>
                <c:pt idx="0">
                  <c:v>pohledávky nad 12 měsíců v tis. Kč</c:v>
                </c:pt>
              </c:strCache>
            </c:strRef>
          </c:tx>
          <c:dPt>
            <c:idx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8888888888888781E-2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PÚ 20</a:t>
                    </a:r>
                    <a:r>
                      <a:rPr lang="cs-CZ" sz="1000" b="1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7.146410608484445E-2"/>
                  <c:y val="-3.240758967629046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PÚ 34 </a:t>
                    </a: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98%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1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1"/>
            <c:showPercent val="1"/>
            <c:showBubbleSize val="0"/>
            <c:showLeaderLines val="1"/>
          </c:dLbls>
          <c:val>
            <c:numRef>
              <c:f>List1!$D$28:$D$29</c:f>
              <c:numCache>
                <c:formatCode>#,##0</c:formatCode>
                <c:ptCount val="2"/>
                <c:pt idx="0">
                  <c:v>2398</c:v>
                </c:pt>
                <c:pt idx="1">
                  <c:v>107291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8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Pohledávky 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PÚ 20 </a:t>
            </a:r>
            <a:endParaRPr lang="cs-CZ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- nájemné + služby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List1!$B$28</c:f>
              <c:strCache>
                <c:ptCount val="1"/>
                <c:pt idx="0">
                  <c:v>PÚ 20 - nájemné + služby</c:v>
                </c:pt>
              </c:strCache>
            </c:strRef>
          </c:tx>
          <c:dPt>
            <c:idx val="0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3184930008748905E-2"/>
                  <c:y val="-8.770122484689413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 12 měsíců v tis. Kč
16%</a:t>
                    </a:r>
                    <a:endParaRPr lang="en-US" sz="16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566393263342082E-2"/>
                  <c:y val="-0.1375528579760863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cs-CZ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cs-CZ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nad 12 měsíců v tis. Kč
84%</a:t>
                    </a:r>
                    <a:endParaRPr lang="en-US" sz="1000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List1!$C$27:$D$27</c:f>
              <c:strCache>
                <c:ptCount val="2"/>
                <c:pt idx="0">
                  <c:v>pohledávky do 12 měsíců v tis. Kč</c:v>
                </c:pt>
                <c:pt idx="1">
                  <c:v>pohledávky nad 12 měsíců v tis. Kč</c:v>
                </c:pt>
              </c:strCache>
            </c:strRef>
          </c:cat>
          <c:val>
            <c:numRef>
              <c:f>List1!$C$28:$D$28</c:f>
              <c:numCache>
                <c:formatCode>#,##0</c:formatCode>
                <c:ptCount val="2"/>
                <c:pt idx="0" formatCode="General">
                  <c:v>463</c:v>
                </c:pt>
                <c:pt idx="1">
                  <c:v>2398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6"/>
      </c:pieChart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Pohledávky 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PÚ 34 </a:t>
            </a:r>
            <a:endParaRPr lang="cs-CZ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- nájemné + služby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List1!$B$34</c:f>
              <c:strCache>
                <c:ptCount val="1"/>
                <c:pt idx="0">
                  <c:v>PÚ 34 - nájemné + služby</c:v>
                </c:pt>
              </c:strCache>
            </c:strRef>
          </c:tx>
          <c:dPt>
            <c:idx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7.849114173228347E-2"/>
                  <c:y val="-4.876312335958005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 12 měsíců v tis. Kč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1247922134733156E-2"/>
                  <c:y val="-0.17533355205599299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nad 12 měsíců v tis. Kč
94%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List1!$C$33:$D$33</c:f>
              <c:strCache>
                <c:ptCount val="2"/>
                <c:pt idx="0">
                  <c:v>pohledávky do 12 měsíců v tis. Kč</c:v>
                </c:pt>
                <c:pt idx="1">
                  <c:v>pohledávky nad 12 měsíců v tis. Kč</c:v>
                </c:pt>
              </c:strCache>
            </c:strRef>
          </c:cat>
          <c:val>
            <c:numRef>
              <c:f>List1!$C$34:$D$34</c:f>
              <c:numCache>
                <c:formatCode>#,##0</c:formatCode>
                <c:ptCount val="2"/>
                <c:pt idx="0">
                  <c:v>7008</c:v>
                </c:pt>
                <c:pt idx="1">
                  <c:v>107291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4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32174103237096"/>
          <c:y val="0.14725721036629091"/>
          <c:w val="0.80259514435695534"/>
          <c:h val="0.586915659151535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List1!$B$28</c:f>
              <c:strCache>
                <c:ptCount val="1"/>
                <c:pt idx="0">
                  <c:v>PÚ 20 - nájemné + služby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tx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List1!$C$27:$E$27</c:f>
              <c:strCache>
                <c:ptCount val="3"/>
                <c:pt idx="0">
                  <c:v>pohledávky do 12 měsíců v tis. Kč</c:v>
                </c:pt>
                <c:pt idx="1">
                  <c:v>pohledávky nad 12 měsíců v tis. Kč</c:v>
                </c:pt>
                <c:pt idx="2">
                  <c:v>celkem pohledávky</c:v>
                </c:pt>
              </c:strCache>
            </c:strRef>
          </c:cat>
          <c:val>
            <c:numRef>
              <c:f>List1!$C$28:$E$28</c:f>
              <c:numCache>
                <c:formatCode>#,##0</c:formatCode>
                <c:ptCount val="3"/>
                <c:pt idx="0" formatCode="General">
                  <c:v>463</c:v>
                </c:pt>
                <c:pt idx="1">
                  <c:v>2398</c:v>
                </c:pt>
                <c:pt idx="2">
                  <c:v>2861</c:v>
                </c:pt>
              </c:numCache>
            </c:numRef>
          </c:val>
        </c:ser>
        <c:ser>
          <c:idx val="1"/>
          <c:order val="1"/>
          <c:tx>
            <c:strRef>
              <c:f>List1!$B$29</c:f>
              <c:strCache>
                <c:ptCount val="1"/>
                <c:pt idx="0">
                  <c:v>PÚ 34 - nájemné + služby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List1!$C$27:$E$27</c:f>
              <c:strCache>
                <c:ptCount val="3"/>
                <c:pt idx="0">
                  <c:v>pohledávky do 12 měsíců v tis. Kč</c:v>
                </c:pt>
                <c:pt idx="1">
                  <c:v>pohledávky nad 12 měsíců v tis. Kč</c:v>
                </c:pt>
                <c:pt idx="2">
                  <c:v>celkem pohledávky</c:v>
                </c:pt>
              </c:strCache>
            </c:strRef>
          </c:cat>
          <c:val>
            <c:numRef>
              <c:f>List1!$C$29:$E$29</c:f>
              <c:numCache>
                <c:formatCode>#,##0</c:formatCode>
                <c:ptCount val="3"/>
                <c:pt idx="0">
                  <c:v>7008</c:v>
                </c:pt>
                <c:pt idx="1">
                  <c:v>107291</c:v>
                </c:pt>
                <c:pt idx="2">
                  <c:v>114299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677056"/>
        <c:axId val="31691136"/>
      </c:barChart>
      <c:catAx>
        <c:axId val="31677056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691136"/>
        <c:crosses val="autoZero"/>
        <c:auto val="1"/>
        <c:lblAlgn val="ctr"/>
        <c:lblOffset val="100"/>
        <c:noMultiLvlLbl val="0"/>
      </c:catAx>
      <c:valAx>
        <c:axId val="31691136"/>
        <c:scaling>
          <c:orientation val="minMax"/>
          <c:max val="12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6770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20036132983377075"/>
          <c:y val="0.87638952021127714"/>
          <c:w val="0.73297200349956249"/>
          <c:h val="9.4718400835656677E-2"/>
        </c:manualLayout>
      </c:layout>
      <c:overlay val="0"/>
      <c:txPr>
        <a:bodyPr/>
        <a:lstStyle/>
        <a:p>
          <a:pPr>
            <a:defRPr b="1" i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61344176240266"/>
          <c:y val="3.2787089732595309E-2"/>
          <c:w val="0.78327537182852136"/>
          <c:h val="0.71767654697613048"/>
        </c:manualLayout>
      </c:layout>
      <c:lineChart>
        <c:grouping val="standard"/>
        <c:varyColors val="0"/>
        <c:ser>
          <c:idx val="1"/>
          <c:order val="0"/>
          <c:tx>
            <c:strRef>
              <c:f>'meziroční porovnání 2006-13'!$C$5</c:f>
              <c:strCache>
                <c:ptCount val="1"/>
                <c:pt idx="0">
                  <c:v>Předpis nájemné + služby celkem</c:v>
                </c:pt>
              </c:strCache>
            </c:strRef>
          </c:tx>
          <c:spPr>
            <a:ln w="50800">
              <a:solidFill>
                <a:schemeClr val="tx1"/>
              </a:solidFill>
              <a:prstDash val="sysDash"/>
            </a:ln>
          </c:spPr>
          <c:marker>
            <c:symbol val="diamond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</c:spPr>
          </c:marker>
          <c:cat>
            <c:numRef>
              <c:f>'meziroční porovnání 2006-13'!$B$6:$B$13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2006-13'!$C$6:$C$13</c:f>
              <c:numCache>
                <c:formatCode>#,##0.00</c:formatCode>
                <c:ptCount val="8"/>
                <c:pt idx="0">
                  <c:v>155000</c:v>
                </c:pt>
                <c:pt idx="1">
                  <c:v>166938.41</c:v>
                </c:pt>
                <c:pt idx="2">
                  <c:v>176416.39</c:v>
                </c:pt>
                <c:pt idx="3">
                  <c:v>180322.18</c:v>
                </c:pt>
                <c:pt idx="4">
                  <c:v>182344.56</c:v>
                </c:pt>
                <c:pt idx="5">
                  <c:v>186683.54</c:v>
                </c:pt>
                <c:pt idx="6">
                  <c:v>192980</c:v>
                </c:pt>
                <c:pt idx="7">
                  <c:v>177478.58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'meziroční porovnání 2006-13'!$D$5</c:f>
              <c:strCache>
                <c:ptCount val="1"/>
                <c:pt idx="0">
                  <c:v>Pohledávka celkem </c:v>
                </c:pt>
              </c:strCache>
            </c:strRef>
          </c:tx>
          <c:spPr>
            <a:ln w="508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'meziroční porovnání 2006-13'!$B$6:$B$13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2006-13'!$D$6:$D$13</c:f>
              <c:numCache>
                <c:formatCode>#,##0.00</c:formatCode>
                <c:ptCount val="8"/>
                <c:pt idx="0">
                  <c:v>49007.92</c:v>
                </c:pt>
                <c:pt idx="1">
                  <c:v>56009.43</c:v>
                </c:pt>
                <c:pt idx="2">
                  <c:v>76123.09</c:v>
                </c:pt>
                <c:pt idx="3">
                  <c:v>86481.77</c:v>
                </c:pt>
                <c:pt idx="4">
                  <c:v>94913.89</c:v>
                </c:pt>
                <c:pt idx="5">
                  <c:v>104040.15</c:v>
                </c:pt>
                <c:pt idx="6">
                  <c:v>113505.74</c:v>
                </c:pt>
                <c:pt idx="7">
                  <c:v>114534.28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'meziroční porovnání 2006-13'!$E$5</c:f>
              <c:strCache>
                <c:ptCount val="1"/>
                <c:pt idx="0">
                  <c:v>Meziroční nárůst dluhu 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ot"/>
            </a:ln>
          </c:spPr>
          <c:marker>
            <c:symbol val="circle"/>
            <c:size val="4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</c:spPr>
          </c:marker>
          <c:cat>
            <c:numRef>
              <c:f>'meziroční porovnání 2006-13'!$B$6:$B$13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2006-13'!$E$6:$E$13</c:f>
              <c:numCache>
                <c:formatCode>#,##0.00</c:formatCode>
                <c:ptCount val="8"/>
                <c:pt idx="0">
                  <c:v>0</c:v>
                </c:pt>
                <c:pt idx="1">
                  <c:v>7001.510000000002</c:v>
                </c:pt>
                <c:pt idx="2">
                  <c:v>20113.659999999996</c:v>
                </c:pt>
                <c:pt idx="3">
                  <c:v>10358.680000000008</c:v>
                </c:pt>
                <c:pt idx="4">
                  <c:v>8432.1199999999953</c:v>
                </c:pt>
                <c:pt idx="5">
                  <c:v>9126.2599999999948</c:v>
                </c:pt>
                <c:pt idx="6">
                  <c:v>9465.5900000000111</c:v>
                </c:pt>
                <c:pt idx="7">
                  <c:v>1028.5399999999936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'meziroční porovnání 2006-13'!$F$5</c:f>
              <c:strCache>
                <c:ptCount val="1"/>
                <c:pt idx="0">
                  <c:v>Kumulativní nárůst dluhu 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'meziroční porovnání 2006-13'!$B$6:$B$13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2006-13'!$F$6:$F$13</c:f>
              <c:numCache>
                <c:formatCode>#,##0.00</c:formatCode>
                <c:ptCount val="8"/>
                <c:pt idx="0">
                  <c:v>0</c:v>
                </c:pt>
                <c:pt idx="1">
                  <c:v>7001.510000000002</c:v>
                </c:pt>
                <c:pt idx="2">
                  <c:v>27115.17</c:v>
                </c:pt>
                <c:pt idx="3">
                  <c:v>37473.850000000006</c:v>
                </c:pt>
                <c:pt idx="4">
                  <c:v>45905.97</c:v>
                </c:pt>
                <c:pt idx="5">
                  <c:v>55032.229999999996</c:v>
                </c:pt>
                <c:pt idx="6">
                  <c:v>64497.820000000007</c:v>
                </c:pt>
                <c:pt idx="7">
                  <c:v>65526.36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02496"/>
        <c:axId val="31804032"/>
      </c:lineChart>
      <c:lineChart>
        <c:grouping val="standard"/>
        <c:varyColors val="0"/>
        <c:ser>
          <c:idx val="0"/>
          <c:order val="4"/>
          <c:tx>
            <c:strRef>
              <c:f>'meziroční porovnání 2006-13'!$G$5</c:f>
              <c:strCache>
                <c:ptCount val="1"/>
                <c:pt idx="0">
                  <c:v>Nájemné v Kč na 1 m2/měsíc</c:v>
                </c:pt>
              </c:strCache>
            </c:strRef>
          </c:tx>
          <c:spPr>
            <a:ln w="25400">
              <a:solidFill>
                <a:schemeClr val="tx1"/>
              </a:solidFill>
              <a:prstDash val="lgDash"/>
            </a:ln>
          </c:spPr>
          <c:marker>
            <c:symbol val="x"/>
            <c:size val="4"/>
            <c:spPr>
              <a:noFill/>
              <a:ln w="25400">
                <a:solidFill>
                  <a:schemeClr val="tx1"/>
                </a:solidFill>
              </a:ln>
            </c:spPr>
          </c:marker>
          <c:val>
            <c:numRef>
              <c:f>'meziroční porovnání 2006-13'!$G$6:$G$13</c:f>
              <c:numCache>
                <c:formatCode>#,##0.00</c:formatCode>
                <c:ptCount val="8"/>
                <c:pt idx="0">
                  <c:v>25.63</c:v>
                </c:pt>
                <c:pt idx="1">
                  <c:v>31.01</c:v>
                </c:pt>
                <c:pt idx="2">
                  <c:v>38.82</c:v>
                </c:pt>
                <c:pt idx="3">
                  <c:v>52.02</c:v>
                </c:pt>
                <c:pt idx="4">
                  <c:v>60.55</c:v>
                </c:pt>
                <c:pt idx="5">
                  <c:v>70.48</c:v>
                </c:pt>
                <c:pt idx="6">
                  <c:v>82.1</c:v>
                </c:pt>
                <c:pt idx="7">
                  <c:v>82.1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'meziroční porovnání 2006-13'!$H$5</c:f>
              <c:strCache>
                <c:ptCount val="1"/>
                <c:pt idx="0">
                  <c:v>Meziroční nárůst nájemného v Kč na  1 m2/měsíc</c:v>
                </c:pt>
              </c:strCache>
            </c:strRef>
          </c:tx>
          <c:spPr>
            <a:ln w="25400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'meziroční porovnání 2006-13'!$B$6:$B$13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2006-13'!$H$6:$H$13</c:f>
              <c:numCache>
                <c:formatCode>#,##0.00</c:formatCode>
                <c:ptCount val="8"/>
                <c:pt idx="0">
                  <c:v>0</c:v>
                </c:pt>
                <c:pt idx="1">
                  <c:v>5.3800000000000026</c:v>
                </c:pt>
                <c:pt idx="2">
                  <c:v>7.8099999999999987</c:v>
                </c:pt>
                <c:pt idx="3">
                  <c:v>13.200000000000003</c:v>
                </c:pt>
                <c:pt idx="4">
                  <c:v>8.529999999999994</c:v>
                </c:pt>
                <c:pt idx="5">
                  <c:v>9.9300000000000068</c:v>
                </c:pt>
                <c:pt idx="6">
                  <c:v>11.61999999999999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11840"/>
        <c:axId val="31810304"/>
      </c:lineChart>
      <c:catAx>
        <c:axId val="31802496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low"/>
        <c:spPr>
          <a:ln w="3175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804032"/>
        <c:crosses val="autoZero"/>
        <c:auto val="1"/>
        <c:lblAlgn val="ctr"/>
        <c:lblOffset val="100"/>
        <c:noMultiLvlLbl val="0"/>
      </c:catAx>
      <c:valAx>
        <c:axId val="31804032"/>
        <c:scaling>
          <c:orientation val="minMax"/>
          <c:max val="200000"/>
        </c:scaling>
        <c:delete val="0"/>
        <c:axPos val="l"/>
        <c:majorGridlines/>
        <c:numFmt formatCode="#,##0.00" sourceLinked="0"/>
        <c:majorTickMark val="out"/>
        <c:minorTickMark val="out"/>
        <c:tickLblPos val="nextTo"/>
        <c:spPr>
          <a:ln w="31750">
            <a:solidFill>
              <a:schemeClr val="tx1"/>
            </a:solidFill>
            <a:prstDash val="solid"/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80249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 sz="1050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Tisíce</a:t>
                  </a:r>
                  <a:r>
                    <a:rPr lang="cs-CZ" sz="1050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 Kč</a:t>
                  </a:r>
                  <a:endParaRPr lang="en-US" sz="1050">
                    <a:latin typeface="Times New Roman" panose="02020603050405020304" pitchFamily="18" charset="0"/>
                    <a:cs typeface="Times New Roman" panose="02020603050405020304" pitchFamily="18" charset="0"/>
                  </a:endParaRPr>
                </a:p>
              </c:rich>
            </c:tx>
          </c:dispUnitsLbl>
        </c:dispUnits>
      </c:valAx>
      <c:valAx>
        <c:axId val="31810304"/>
        <c:scaling>
          <c:orientation val="minMax"/>
        </c:scaling>
        <c:delete val="0"/>
        <c:axPos val="r"/>
        <c:numFmt formatCode="#,##0.00" sourceLinked="1"/>
        <c:majorTickMark val="out"/>
        <c:minorTickMark val="out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811840"/>
        <c:crosses val="max"/>
        <c:crossBetween val="between"/>
      </c:valAx>
      <c:catAx>
        <c:axId val="31811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81030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1.3289820341455431E-2"/>
          <c:y val="0.85951587417508735"/>
          <c:w val="0.98090402333923765"/>
          <c:h val="0.14048412582491271"/>
        </c:manualLayout>
      </c:layout>
      <c:overlay val="1"/>
      <c:txPr>
        <a:bodyPr/>
        <a:lstStyle/>
        <a:p>
          <a:pPr>
            <a:defRPr sz="8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15442964917344"/>
          <c:y val="4.9843414637168751E-2"/>
          <c:w val="0.82546600523102154"/>
          <c:h val="0.7467580264899225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'meziroční porovnání 2006-13'!$C$35</c:f>
              <c:strCache>
                <c:ptCount val="1"/>
                <c:pt idx="0">
                  <c:v>Předpis nájemné + služby celkem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'meziroční porovnání 2006-13'!$B$36:$B$43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2006-13'!$C$36:$C$43</c:f>
              <c:numCache>
                <c:formatCode>#,##0.00</c:formatCode>
                <c:ptCount val="8"/>
                <c:pt idx="0">
                  <c:v>155000</c:v>
                </c:pt>
                <c:pt idx="1">
                  <c:v>166938.41</c:v>
                </c:pt>
                <c:pt idx="2">
                  <c:v>176416.39</c:v>
                </c:pt>
                <c:pt idx="3">
                  <c:v>180322.18</c:v>
                </c:pt>
                <c:pt idx="4">
                  <c:v>182344.56</c:v>
                </c:pt>
                <c:pt idx="5">
                  <c:v>186683.54</c:v>
                </c:pt>
                <c:pt idx="6">
                  <c:v>192980</c:v>
                </c:pt>
                <c:pt idx="7">
                  <c:v>177478.58</c:v>
                </c:pt>
              </c:numCache>
            </c:numRef>
          </c:val>
        </c:ser>
        <c:ser>
          <c:idx val="2"/>
          <c:order val="1"/>
          <c:tx>
            <c:strRef>
              <c:f>'meziroční porovnání 2006-13'!$D$35</c:f>
              <c:strCache>
                <c:ptCount val="1"/>
                <c:pt idx="0">
                  <c:v>Pohledávka celkem 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'meziroční porovnání 2006-13'!$B$36:$B$43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'meziroční porovnání 2006-13'!$D$36:$D$43</c:f>
              <c:numCache>
                <c:formatCode>#,##0.00</c:formatCode>
                <c:ptCount val="8"/>
                <c:pt idx="0">
                  <c:v>49007.92</c:v>
                </c:pt>
                <c:pt idx="1">
                  <c:v>56009.43</c:v>
                </c:pt>
                <c:pt idx="2">
                  <c:v>76123.09</c:v>
                </c:pt>
                <c:pt idx="3">
                  <c:v>86481.77</c:v>
                </c:pt>
                <c:pt idx="4">
                  <c:v>94913.89</c:v>
                </c:pt>
                <c:pt idx="5">
                  <c:v>104040.15</c:v>
                </c:pt>
                <c:pt idx="6">
                  <c:v>113505.74</c:v>
                </c:pt>
                <c:pt idx="7">
                  <c:v>114534.28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26912"/>
        <c:axId val="31928704"/>
      </c:barChart>
      <c:catAx>
        <c:axId val="31926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928704"/>
        <c:crosses val="autoZero"/>
        <c:auto val="1"/>
        <c:lblAlgn val="ctr"/>
        <c:lblOffset val="100"/>
        <c:noMultiLvlLbl val="0"/>
      </c:catAx>
      <c:valAx>
        <c:axId val="31928704"/>
        <c:scaling>
          <c:orientation val="minMax"/>
          <c:max val="20000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31926912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cs-CZ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Mil. Kč</a:t>
                  </a:r>
                </a:p>
              </c:rich>
            </c:tx>
          </c:dispUnitsLbl>
        </c:dispUnits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5.3135269086128631E-2"/>
          <c:y val="0.88713048917923665"/>
          <c:w val="0.89799911136762356"/>
          <c:h val="8.5483881701462247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46DB-903E-40CE-A0E2-1AF847E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D8AB18C0.dotm</Template>
  <TotalTime>630</TotalTime>
  <Pages>6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Breitfelderová Alena</dc:creator>
  <cp:lastModifiedBy>Breitfelderová Alena</cp:lastModifiedBy>
  <cp:revision>85</cp:revision>
  <cp:lastPrinted>2014-05-14T12:36:00Z</cp:lastPrinted>
  <dcterms:created xsi:type="dcterms:W3CDTF">2014-05-05T14:41:00Z</dcterms:created>
  <dcterms:modified xsi:type="dcterms:W3CDTF">2014-05-14T12:37:00Z</dcterms:modified>
</cp:coreProperties>
</file>