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F0" w:rsidRDefault="00A201F0" w:rsidP="00A201F0">
      <w:pPr>
        <w:pStyle w:val="nadpcent"/>
      </w:pPr>
      <w:r>
        <w:t>Důvodová zpráva</w:t>
      </w:r>
    </w:p>
    <w:p w:rsidR="00A201F0" w:rsidRDefault="00A201F0" w:rsidP="00A201F0">
      <w:pPr>
        <w:pStyle w:val="ostzahl"/>
      </w:pPr>
      <w:r>
        <w:t>Název problému a jeho charakteristika</w:t>
      </w:r>
    </w:p>
    <w:p w:rsidR="00A201F0" w:rsidRDefault="00A201F0" w:rsidP="00A201F0">
      <w:pPr>
        <w:pStyle w:val="vlevo"/>
      </w:pPr>
      <w:r>
        <w:tab/>
        <w:t xml:space="preserve">Směna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2160 k. </w:t>
      </w:r>
      <w:proofErr w:type="spellStart"/>
      <w:r>
        <w:t>ú.</w:t>
      </w:r>
      <w:proofErr w:type="spellEnd"/>
      <w:r>
        <w:t xml:space="preserve"> Bolevec ve vlastnictví pana Dobrého za 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3574 k. </w:t>
      </w:r>
      <w:proofErr w:type="spellStart"/>
      <w:r>
        <w:t>ú.</w:t>
      </w:r>
      <w:proofErr w:type="spellEnd"/>
      <w:r>
        <w:t xml:space="preserve"> Bolevec ve vlastnictví města Plzně</w:t>
      </w:r>
      <w:r w:rsidR="009B6433">
        <w:t>.</w:t>
      </w:r>
    </w:p>
    <w:p w:rsidR="00A201F0" w:rsidRDefault="00A201F0" w:rsidP="00A201F0">
      <w:pPr>
        <w:pStyle w:val="ostzahl"/>
      </w:pPr>
      <w:r>
        <w:t>Konstatování současného stavu a jeho analýza</w:t>
      </w:r>
    </w:p>
    <w:p w:rsidR="00A201F0" w:rsidRPr="000B0005" w:rsidRDefault="00A201F0" w:rsidP="00A201F0">
      <w:pPr>
        <w:tabs>
          <w:tab w:val="left" w:pos="284"/>
        </w:tabs>
        <w:ind w:firstLine="284"/>
        <w:jc w:val="both"/>
        <w:rPr>
          <w:sz w:val="24"/>
          <w:szCs w:val="24"/>
        </w:rPr>
      </w:pPr>
      <w:r w:rsidRPr="000B0005">
        <w:rPr>
          <w:sz w:val="24"/>
          <w:szCs w:val="24"/>
        </w:rPr>
        <w:t xml:space="preserve">Správa veřejného statku města Plzně požádala Odbor nabývání majetku MMP o zahájení jednání s vlastníky pozemků </w:t>
      </w:r>
      <w:proofErr w:type="spellStart"/>
      <w:r w:rsidRPr="000B0005">
        <w:rPr>
          <w:sz w:val="24"/>
          <w:szCs w:val="24"/>
        </w:rPr>
        <w:t>parc</w:t>
      </w:r>
      <w:proofErr w:type="spellEnd"/>
      <w:r w:rsidRPr="000B0005">
        <w:rPr>
          <w:sz w:val="24"/>
          <w:szCs w:val="24"/>
        </w:rPr>
        <w:t xml:space="preserve">. </w:t>
      </w:r>
      <w:proofErr w:type="gramStart"/>
      <w:r w:rsidRPr="000B0005">
        <w:rPr>
          <w:sz w:val="24"/>
          <w:szCs w:val="24"/>
        </w:rPr>
        <w:t>č.</w:t>
      </w:r>
      <w:proofErr w:type="gramEnd"/>
      <w:r w:rsidRPr="000B0005">
        <w:rPr>
          <w:sz w:val="24"/>
          <w:szCs w:val="24"/>
        </w:rPr>
        <w:t xml:space="preserve"> 2147, </w:t>
      </w:r>
      <w:proofErr w:type="spellStart"/>
      <w:r w:rsidRPr="000B0005">
        <w:rPr>
          <w:sz w:val="24"/>
          <w:szCs w:val="24"/>
        </w:rPr>
        <w:t>parc</w:t>
      </w:r>
      <w:proofErr w:type="spellEnd"/>
      <w:r w:rsidRPr="000B0005">
        <w:rPr>
          <w:sz w:val="24"/>
          <w:szCs w:val="24"/>
        </w:rPr>
        <w:t xml:space="preserve">. č. 2148 a </w:t>
      </w:r>
      <w:proofErr w:type="spellStart"/>
      <w:r w:rsidRPr="000B0005">
        <w:rPr>
          <w:sz w:val="24"/>
          <w:szCs w:val="24"/>
        </w:rPr>
        <w:t>parc</w:t>
      </w:r>
      <w:proofErr w:type="spellEnd"/>
      <w:r w:rsidRPr="000B0005">
        <w:rPr>
          <w:sz w:val="24"/>
          <w:szCs w:val="24"/>
        </w:rPr>
        <w:t xml:space="preserve">. č. 2160 vše k. </w:t>
      </w:r>
      <w:proofErr w:type="spellStart"/>
      <w:r w:rsidRPr="000B0005">
        <w:rPr>
          <w:sz w:val="24"/>
          <w:szCs w:val="24"/>
        </w:rPr>
        <w:t>ú.</w:t>
      </w:r>
      <w:proofErr w:type="spellEnd"/>
      <w:r w:rsidRPr="000B0005">
        <w:rPr>
          <w:sz w:val="24"/>
          <w:szCs w:val="24"/>
        </w:rPr>
        <w:t xml:space="preserve"> Bolevec ve věci odkoupení těchto pozemků do majetku města Plzně. Správa veřejného statku města Plzně jako důvod výkupu uvedla, že tyto pozemky jsou součástí hráze rybníka </w:t>
      </w:r>
      <w:proofErr w:type="spellStart"/>
      <w:r w:rsidRPr="000B0005">
        <w:rPr>
          <w:sz w:val="24"/>
          <w:szCs w:val="24"/>
        </w:rPr>
        <w:t>Košinář</w:t>
      </w:r>
      <w:proofErr w:type="spellEnd"/>
      <w:r w:rsidRPr="000B0005">
        <w:rPr>
          <w:sz w:val="24"/>
          <w:szCs w:val="24"/>
        </w:rPr>
        <w:t>.</w:t>
      </w:r>
    </w:p>
    <w:p w:rsidR="00A201F0" w:rsidRDefault="00A201F0" w:rsidP="00A201F0">
      <w:pPr>
        <w:tabs>
          <w:tab w:val="left" w:pos="284"/>
        </w:tabs>
        <w:ind w:firstLine="284"/>
        <w:jc w:val="both"/>
        <w:rPr>
          <w:sz w:val="24"/>
          <w:szCs w:val="24"/>
        </w:rPr>
      </w:pPr>
      <w:r w:rsidRPr="000B0005">
        <w:rPr>
          <w:sz w:val="24"/>
          <w:szCs w:val="24"/>
        </w:rPr>
        <w:t xml:space="preserve">Pozemky </w:t>
      </w:r>
      <w:proofErr w:type="spellStart"/>
      <w:r w:rsidRPr="000B0005">
        <w:rPr>
          <w:sz w:val="24"/>
          <w:szCs w:val="24"/>
        </w:rPr>
        <w:t>parc</w:t>
      </w:r>
      <w:proofErr w:type="spellEnd"/>
      <w:r w:rsidRPr="000B0005">
        <w:rPr>
          <w:sz w:val="24"/>
          <w:szCs w:val="24"/>
        </w:rPr>
        <w:t xml:space="preserve">. </w:t>
      </w:r>
      <w:proofErr w:type="gramStart"/>
      <w:r w:rsidRPr="000B0005">
        <w:rPr>
          <w:sz w:val="24"/>
          <w:szCs w:val="24"/>
        </w:rPr>
        <w:t>č.</w:t>
      </w:r>
      <w:proofErr w:type="gramEnd"/>
      <w:r w:rsidRPr="000B0005">
        <w:rPr>
          <w:sz w:val="24"/>
          <w:szCs w:val="24"/>
        </w:rPr>
        <w:t xml:space="preserve"> 2147 a </w:t>
      </w:r>
      <w:proofErr w:type="spellStart"/>
      <w:r w:rsidRPr="000B0005">
        <w:rPr>
          <w:sz w:val="24"/>
          <w:szCs w:val="24"/>
        </w:rPr>
        <w:t>parc</w:t>
      </w:r>
      <w:proofErr w:type="spellEnd"/>
      <w:r w:rsidRPr="000B0005">
        <w:rPr>
          <w:sz w:val="24"/>
          <w:szCs w:val="24"/>
        </w:rPr>
        <w:t xml:space="preserve">. č. 2148 k. </w:t>
      </w:r>
      <w:proofErr w:type="spellStart"/>
      <w:r w:rsidRPr="000B0005">
        <w:rPr>
          <w:sz w:val="24"/>
          <w:szCs w:val="24"/>
        </w:rPr>
        <w:t>ú.</w:t>
      </w:r>
      <w:proofErr w:type="spellEnd"/>
      <w:r w:rsidRPr="000B0005">
        <w:rPr>
          <w:sz w:val="24"/>
          <w:szCs w:val="24"/>
        </w:rPr>
        <w:t xml:space="preserve"> Bolevec jsou ve spoluvlastnictví pěti fyzických osob. Pozemek </w:t>
      </w:r>
      <w:proofErr w:type="spellStart"/>
      <w:r w:rsidRPr="000B0005">
        <w:rPr>
          <w:sz w:val="24"/>
          <w:szCs w:val="24"/>
        </w:rPr>
        <w:t>parc</w:t>
      </w:r>
      <w:proofErr w:type="spellEnd"/>
      <w:r w:rsidRPr="000B0005">
        <w:rPr>
          <w:sz w:val="24"/>
          <w:szCs w:val="24"/>
        </w:rPr>
        <w:t xml:space="preserve">. </w:t>
      </w:r>
      <w:proofErr w:type="gramStart"/>
      <w:r w:rsidRPr="000B0005">
        <w:rPr>
          <w:sz w:val="24"/>
          <w:szCs w:val="24"/>
        </w:rPr>
        <w:t>č.</w:t>
      </w:r>
      <w:proofErr w:type="gramEnd"/>
      <w:r w:rsidRPr="000B0005">
        <w:rPr>
          <w:sz w:val="24"/>
          <w:szCs w:val="24"/>
        </w:rPr>
        <w:t xml:space="preserve"> 2160 k. </w:t>
      </w:r>
      <w:proofErr w:type="spellStart"/>
      <w:r w:rsidRPr="000B0005">
        <w:rPr>
          <w:sz w:val="24"/>
          <w:szCs w:val="24"/>
        </w:rPr>
        <w:t>ú.</w:t>
      </w:r>
      <w:proofErr w:type="spellEnd"/>
      <w:r w:rsidRPr="000B0005">
        <w:rPr>
          <w:sz w:val="24"/>
          <w:szCs w:val="24"/>
        </w:rPr>
        <w:t xml:space="preserve"> Bolevec je ve vlastnictví pana Dobrého. MAJ MMP oslovil s žádostí o výkup spoluvlastníky předmětných pozemků. Spoluvlastníky byla vznesena připomínka, že pozemky </w:t>
      </w:r>
      <w:proofErr w:type="spellStart"/>
      <w:r w:rsidRPr="000B0005">
        <w:rPr>
          <w:sz w:val="24"/>
          <w:szCs w:val="24"/>
        </w:rPr>
        <w:t>parc</w:t>
      </w:r>
      <w:proofErr w:type="spellEnd"/>
      <w:r w:rsidRPr="000B0005">
        <w:rPr>
          <w:sz w:val="24"/>
          <w:szCs w:val="24"/>
        </w:rPr>
        <w:t xml:space="preserve">. </w:t>
      </w:r>
      <w:proofErr w:type="gramStart"/>
      <w:r w:rsidRPr="000B0005">
        <w:rPr>
          <w:sz w:val="24"/>
          <w:szCs w:val="24"/>
        </w:rPr>
        <w:t>č.</w:t>
      </w:r>
      <w:proofErr w:type="gramEnd"/>
      <w:r w:rsidRPr="000B0005">
        <w:rPr>
          <w:sz w:val="24"/>
          <w:szCs w:val="24"/>
        </w:rPr>
        <w:t xml:space="preserve"> 2147, </w:t>
      </w:r>
      <w:proofErr w:type="spellStart"/>
      <w:r w:rsidRPr="000B0005">
        <w:rPr>
          <w:sz w:val="24"/>
          <w:szCs w:val="24"/>
        </w:rPr>
        <w:t>parc</w:t>
      </w:r>
      <w:proofErr w:type="spellEnd"/>
      <w:r w:rsidRPr="000B0005">
        <w:rPr>
          <w:sz w:val="24"/>
          <w:szCs w:val="24"/>
        </w:rPr>
        <w:t xml:space="preserve">. č. 2148 a </w:t>
      </w:r>
      <w:proofErr w:type="spellStart"/>
      <w:r w:rsidRPr="000B0005">
        <w:rPr>
          <w:sz w:val="24"/>
          <w:szCs w:val="24"/>
        </w:rPr>
        <w:t>parc</w:t>
      </w:r>
      <w:proofErr w:type="spellEnd"/>
      <w:r w:rsidRPr="000B0005">
        <w:rPr>
          <w:sz w:val="24"/>
          <w:szCs w:val="24"/>
        </w:rPr>
        <w:t xml:space="preserve">. č. 2160 k. </w:t>
      </w:r>
      <w:proofErr w:type="spellStart"/>
      <w:r w:rsidRPr="000B0005">
        <w:rPr>
          <w:sz w:val="24"/>
          <w:szCs w:val="24"/>
        </w:rPr>
        <w:t>ú.</w:t>
      </w:r>
      <w:proofErr w:type="spellEnd"/>
      <w:r w:rsidRPr="000B0005">
        <w:rPr>
          <w:sz w:val="24"/>
          <w:szCs w:val="24"/>
        </w:rPr>
        <w:t xml:space="preserve"> Bolevec nejsou součástí hráze rybníka </w:t>
      </w:r>
      <w:proofErr w:type="spellStart"/>
      <w:r w:rsidRPr="000B0005">
        <w:rPr>
          <w:sz w:val="24"/>
          <w:szCs w:val="24"/>
        </w:rPr>
        <w:t>Košinář</w:t>
      </w:r>
      <w:proofErr w:type="spellEnd"/>
      <w:r w:rsidRPr="000B0005">
        <w:rPr>
          <w:sz w:val="24"/>
          <w:szCs w:val="24"/>
        </w:rPr>
        <w:t xml:space="preserve">. Z tohoto důvodu </w:t>
      </w:r>
      <w:proofErr w:type="gramStart"/>
      <w:r w:rsidRPr="000B0005">
        <w:rPr>
          <w:sz w:val="24"/>
          <w:szCs w:val="24"/>
        </w:rPr>
        <w:t>požádal MAJ</w:t>
      </w:r>
      <w:proofErr w:type="gramEnd"/>
      <w:r w:rsidRPr="000B0005">
        <w:rPr>
          <w:sz w:val="24"/>
          <w:szCs w:val="24"/>
        </w:rPr>
        <w:t xml:space="preserve"> MMP Správu veřejného statku města Plzně o prošetření této skutečnost</w:t>
      </w:r>
      <w:r>
        <w:rPr>
          <w:sz w:val="24"/>
          <w:szCs w:val="24"/>
        </w:rPr>
        <w:t>i</w:t>
      </w:r>
      <w:r w:rsidRPr="000B0005">
        <w:rPr>
          <w:sz w:val="24"/>
          <w:szCs w:val="24"/>
        </w:rPr>
        <w:t xml:space="preserve">, tj. zda předmětné pozemky zasahují do tělesa hráze rybníku </w:t>
      </w:r>
      <w:proofErr w:type="spellStart"/>
      <w:r w:rsidRPr="000B0005">
        <w:rPr>
          <w:sz w:val="24"/>
          <w:szCs w:val="24"/>
        </w:rPr>
        <w:t>Košinář</w:t>
      </w:r>
      <w:proofErr w:type="spellEnd"/>
      <w:r w:rsidRPr="000B0005">
        <w:rPr>
          <w:sz w:val="24"/>
          <w:szCs w:val="24"/>
        </w:rPr>
        <w:t>.</w:t>
      </w:r>
    </w:p>
    <w:p w:rsidR="00A201F0" w:rsidRDefault="00A201F0" w:rsidP="00A201F0">
      <w:pPr>
        <w:tabs>
          <w:tab w:val="left" w:pos="284"/>
        </w:tabs>
        <w:ind w:firstLine="284"/>
        <w:jc w:val="both"/>
        <w:rPr>
          <w:sz w:val="24"/>
          <w:szCs w:val="24"/>
        </w:rPr>
      </w:pPr>
      <w:r w:rsidRPr="000B0005">
        <w:rPr>
          <w:sz w:val="24"/>
          <w:szCs w:val="24"/>
        </w:rPr>
        <w:t xml:space="preserve">Správa veřejného statku města Plzně za tímto účelem provedla místní šetření za účasti spoluvlastníků předmětných pozemků. Při místním šetření bylo zjištěno, že části soukromých pozemků </w:t>
      </w:r>
      <w:proofErr w:type="spellStart"/>
      <w:r w:rsidRPr="000B0005">
        <w:rPr>
          <w:sz w:val="24"/>
          <w:szCs w:val="24"/>
        </w:rPr>
        <w:t>parc</w:t>
      </w:r>
      <w:proofErr w:type="spellEnd"/>
      <w:r w:rsidRPr="000B0005">
        <w:rPr>
          <w:sz w:val="24"/>
          <w:szCs w:val="24"/>
        </w:rPr>
        <w:t xml:space="preserve">. </w:t>
      </w:r>
      <w:proofErr w:type="gramStart"/>
      <w:r w:rsidRPr="000B0005">
        <w:rPr>
          <w:sz w:val="24"/>
          <w:szCs w:val="24"/>
        </w:rPr>
        <w:t>č.</w:t>
      </w:r>
      <w:proofErr w:type="gramEnd"/>
      <w:r w:rsidRPr="000B0005">
        <w:rPr>
          <w:sz w:val="24"/>
          <w:szCs w:val="24"/>
        </w:rPr>
        <w:t xml:space="preserve"> 2147, </w:t>
      </w:r>
      <w:proofErr w:type="spellStart"/>
      <w:r w:rsidRPr="000B0005">
        <w:rPr>
          <w:sz w:val="24"/>
          <w:szCs w:val="24"/>
        </w:rPr>
        <w:t>parc</w:t>
      </w:r>
      <w:proofErr w:type="spellEnd"/>
      <w:r w:rsidRPr="000B0005">
        <w:rPr>
          <w:sz w:val="24"/>
          <w:szCs w:val="24"/>
        </w:rPr>
        <w:t xml:space="preserve">. č. 2148 a </w:t>
      </w:r>
      <w:proofErr w:type="spellStart"/>
      <w:r w:rsidRPr="000B0005">
        <w:rPr>
          <w:sz w:val="24"/>
          <w:szCs w:val="24"/>
        </w:rPr>
        <w:t>parc</w:t>
      </w:r>
      <w:proofErr w:type="spellEnd"/>
      <w:r w:rsidRPr="000B0005">
        <w:rPr>
          <w:sz w:val="24"/>
          <w:szCs w:val="24"/>
        </w:rPr>
        <w:t xml:space="preserve">. č. 2160 v k. </w:t>
      </w:r>
      <w:proofErr w:type="spellStart"/>
      <w:r w:rsidRPr="000B0005">
        <w:rPr>
          <w:sz w:val="24"/>
          <w:szCs w:val="24"/>
        </w:rPr>
        <w:t>ú.</w:t>
      </w:r>
      <w:proofErr w:type="spellEnd"/>
      <w:r w:rsidRPr="000B0005">
        <w:rPr>
          <w:sz w:val="24"/>
          <w:szCs w:val="24"/>
        </w:rPr>
        <w:t xml:space="preserve"> Bolevec dle současného stavu zasahují do vzdušného svahu rybníka </w:t>
      </w:r>
      <w:proofErr w:type="spellStart"/>
      <w:r w:rsidRPr="000B0005">
        <w:rPr>
          <w:sz w:val="24"/>
          <w:szCs w:val="24"/>
        </w:rPr>
        <w:t>Košinář</w:t>
      </w:r>
      <w:proofErr w:type="spellEnd"/>
      <w:r>
        <w:rPr>
          <w:sz w:val="24"/>
          <w:szCs w:val="24"/>
        </w:rPr>
        <w:t>.</w:t>
      </w:r>
      <w:r w:rsidRPr="000B0005">
        <w:rPr>
          <w:sz w:val="24"/>
          <w:szCs w:val="24"/>
        </w:rPr>
        <w:t xml:space="preserve"> Vlastník pozemku </w:t>
      </w:r>
      <w:proofErr w:type="spellStart"/>
      <w:r w:rsidRPr="000B0005">
        <w:rPr>
          <w:sz w:val="24"/>
          <w:szCs w:val="24"/>
        </w:rPr>
        <w:t>parc</w:t>
      </w:r>
      <w:proofErr w:type="spellEnd"/>
      <w:r w:rsidRPr="000B0005">
        <w:rPr>
          <w:sz w:val="24"/>
          <w:szCs w:val="24"/>
        </w:rPr>
        <w:t xml:space="preserve">. </w:t>
      </w:r>
      <w:proofErr w:type="gramStart"/>
      <w:r w:rsidRPr="000B0005">
        <w:rPr>
          <w:sz w:val="24"/>
          <w:szCs w:val="24"/>
        </w:rPr>
        <w:t>č.</w:t>
      </w:r>
      <w:proofErr w:type="gramEnd"/>
      <w:r w:rsidRPr="000B0005">
        <w:rPr>
          <w:sz w:val="24"/>
          <w:szCs w:val="24"/>
        </w:rPr>
        <w:t xml:space="preserve"> 2160 k. </w:t>
      </w:r>
      <w:proofErr w:type="spellStart"/>
      <w:r w:rsidRPr="000B0005">
        <w:rPr>
          <w:sz w:val="24"/>
          <w:szCs w:val="24"/>
        </w:rPr>
        <w:t>ú.</w:t>
      </w:r>
      <w:proofErr w:type="spellEnd"/>
      <w:r w:rsidRPr="000B0005">
        <w:rPr>
          <w:sz w:val="24"/>
          <w:szCs w:val="24"/>
        </w:rPr>
        <w:t xml:space="preserve"> Bolevec nesouhlasí s dělením svého pozemku a trvá na prodeji či směně pozemk</w:t>
      </w:r>
      <w:r>
        <w:rPr>
          <w:sz w:val="24"/>
          <w:szCs w:val="24"/>
        </w:rPr>
        <w:t>u</w:t>
      </w:r>
      <w:r w:rsidRPr="000B0005">
        <w:rPr>
          <w:sz w:val="24"/>
          <w:szCs w:val="24"/>
        </w:rPr>
        <w:t xml:space="preserve"> jako celku.</w:t>
      </w:r>
    </w:p>
    <w:p w:rsidR="00A201F0" w:rsidRDefault="00A201F0" w:rsidP="00A201F0">
      <w:pPr>
        <w:tabs>
          <w:tab w:val="left" w:pos="28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Výkup </w:t>
      </w:r>
      <w:r w:rsidRPr="000B0005">
        <w:rPr>
          <w:sz w:val="24"/>
          <w:szCs w:val="24"/>
        </w:rPr>
        <w:t xml:space="preserve">pozemků </w:t>
      </w:r>
      <w:proofErr w:type="spellStart"/>
      <w:r w:rsidRPr="000B0005">
        <w:rPr>
          <w:sz w:val="24"/>
          <w:szCs w:val="24"/>
        </w:rPr>
        <w:t>parc</w:t>
      </w:r>
      <w:proofErr w:type="spellEnd"/>
      <w:r w:rsidRPr="000B0005">
        <w:rPr>
          <w:sz w:val="24"/>
          <w:szCs w:val="24"/>
        </w:rPr>
        <w:t xml:space="preserve">. </w:t>
      </w:r>
      <w:proofErr w:type="gramStart"/>
      <w:r w:rsidRPr="000B0005">
        <w:rPr>
          <w:sz w:val="24"/>
          <w:szCs w:val="24"/>
        </w:rPr>
        <w:t>č.</w:t>
      </w:r>
      <w:proofErr w:type="gramEnd"/>
      <w:r w:rsidRPr="000B0005">
        <w:rPr>
          <w:sz w:val="24"/>
          <w:szCs w:val="24"/>
        </w:rPr>
        <w:t xml:space="preserve"> 2147 a </w:t>
      </w:r>
      <w:proofErr w:type="spellStart"/>
      <w:r w:rsidRPr="000B0005">
        <w:rPr>
          <w:sz w:val="24"/>
          <w:szCs w:val="24"/>
        </w:rPr>
        <w:t>parc</w:t>
      </w:r>
      <w:proofErr w:type="spellEnd"/>
      <w:r w:rsidRPr="000B0005">
        <w:rPr>
          <w:sz w:val="24"/>
          <w:szCs w:val="24"/>
        </w:rPr>
        <w:t xml:space="preserve">. č. 2148 oba k. </w:t>
      </w:r>
      <w:proofErr w:type="spellStart"/>
      <w:r w:rsidRPr="000B0005">
        <w:rPr>
          <w:sz w:val="24"/>
          <w:szCs w:val="24"/>
        </w:rPr>
        <w:t>ú.</w:t>
      </w:r>
      <w:proofErr w:type="spellEnd"/>
      <w:r w:rsidRPr="000B0005">
        <w:rPr>
          <w:sz w:val="24"/>
          <w:szCs w:val="24"/>
        </w:rPr>
        <w:t xml:space="preserve"> Bolevec </w:t>
      </w:r>
      <w:r>
        <w:rPr>
          <w:sz w:val="24"/>
          <w:szCs w:val="24"/>
        </w:rPr>
        <w:t>je řešen samostatnou kauzou.</w:t>
      </w:r>
    </w:p>
    <w:p w:rsidR="00A201F0" w:rsidRDefault="00A201F0" w:rsidP="00A201F0">
      <w:pPr>
        <w:tabs>
          <w:tab w:val="left" w:pos="284"/>
        </w:tabs>
        <w:ind w:firstLine="284"/>
        <w:jc w:val="both"/>
        <w:rPr>
          <w:sz w:val="24"/>
          <w:szCs w:val="24"/>
        </w:rPr>
      </w:pPr>
      <w:r w:rsidRPr="000B0005">
        <w:rPr>
          <w:sz w:val="24"/>
          <w:szCs w:val="24"/>
        </w:rPr>
        <w:t xml:space="preserve">Vlastník pozemku </w:t>
      </w:r>
      <w:proofErr w:type="spellStart"/>
      <w:r w:rsidRPr="000B0005">
        <w:rPr>
          <w:sz w:val="24"/>
          <w:szCs w:val="24"/>
        </w:rPr>
        <w:t>parc</w:t>
      </w:r>
      <w:proofErr w:type="spellEnd"/>
      <w:r w:rsidRPr="000B0005">
        <w:rPr>
          <w:sz w:val="24"/>
          <w:szCs w:val="24"/>
        </w:rPr>
        <w:t xml:space="preserve">. </w:t>
      </w:r>
      <w:proofErr w:type="gramStart"/>
      <w:r w:rsidRPr="000B0005">
        <w:rPr>
          <w:sz w:val="24"/>
          <w:szCs w:val="24"/>
        </w:rPr>
        <w:t>č.</w:t>
      </w:r>
      <w:proofErr w:type="gramEnd"/>
      <w:r w:rsidRPr="000B0005">
        <w:rPr>
          <w:sz w:val="24"/>
          <w:szCs w:val="24"/>
        </w:rPr>
        <w:t xml:space="preserve"> 2160</w:t>
      </w:r>
      <w:r>
        <w:rPr>
          <w:sz w:val="24"/>
          <w:szCs w:val="24"/>
        </w:rPr>
        <w:t xml:space="preserve"> </w:t>
      </w:r>
      <w:r w:rsidRPr="000B0005">
        <w:rPr>
          <w:sz w:val="24"/>
          <w:szCs w:val="24"/>
        </w:rPr>
        <w:t xml:space="preserve">k. </w:t>
      </w:r>
      <w:proofErr w:type="spellStart"/>
      <w:r w:rsidRPr="000B0005">
        <w:rPr>
          <w:sz w:val="24"/>
          <w:szCs w:val="24"/>
        </w:rPr>
        <w:t>ú.</w:t>
      </w:r>
      <w:proofErr w:type="spellEnd"/>
      <w:r w:rsidRPr="000B0005">
        <w:rPr>
          <w:sz w:val="24"/>
          <w:szCs w:val="24"/>
        </w:rPr>
        <w:t xml:space="preserve"> Bolevec</w:t>
      </w:r>
      <w:r>
        <w:rPr>
          <w:sz w:val="24"/>
          <w:szCs w:val="24"/>
        </w:rPr>
        <w:t>,</w:t>
      </w:r>
      <w:r w:rsidRPr="000B00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pan Dobrý, </w:t>
      </w:r>
      <w:r w:rsidRPr="000B0005">
        <w:rPr>
          <w:sz w:val="24"/>
          <w:szCs w:val="24"/>
        </w:rPr>
        <w:t xml:space="preserve">požaduje směnu za pozemek ve vlastnictví města Plzně </w:t>
      </w:r>
      <w:proofErr w:type="spellStart"/>
      <w:r w:rsidRPr="000B0005">
        <w:rPr>
          <w:sz w:val="24"/>
          <w:szCs w:val="24"/>
        </w:rPr>
        <w:t>parc</w:t>
      </w:r>
      <w:proofErr w:type="spellEnd"/>
      <w:r w:rsidRPr="000B0005">
        <w:rPr>
          <w:sz w:val="24"/>
          <w:szCs w:val="24"/>
        </w:rPr>
        <w:t xml:space="preserve">. </w:t>
      </w:r>
      <w:proofErr w:type="gramStart"/>
      <w:r w:rsidRPr="000B0005">
        <w:rPr>
          <w:sz w:val="24"/>
          <w:szCs w:val="24"/>
        </w:rPr>
        <w:t>č.</w:t>
      </w:r>
      <w:proofErr w:type="gramEnd"/>
      <w:r w:rsidRPr="000B0005">
        <w:rPr>
          <w:sz w:val="24"/>
          <w:szCs w:val="24"/>
        </w:rPr>
        <w:t xml:space="preserve"> 3574 k. </w:t>
      </w:r>
      <w:proofErr w:type="spellStart"/>
      <w:r w:rsidRPr="000B0005">
        <w:rPr>
          <w:sz w:val="24"/>
          <w:szCs w:val="24"/>
        </w:rPr>
        <w:t>ú.</w:t>
      </w:r>
      <w:proofErr w:type="spellEnd"/>
      <w:r w:rsidRPr="000B0005">
        <w:rPr>
          <w:sz w:val="24"/>
          <w:szCs w:val="24"/>
        </w:rPr>
        <w:t xml:space="preserve"> Bolevec. Na tomto pozemku se nachází stavba bývalého obchodního centra Orlík, na adrese Kaznějovská č. 49, jehož je žadatel o směnu vlastníkem. </w:t>
      </w:r>
      <w:r>
        <w:rPr>
          <w:sz w:val="24"/>
          <w:szCs w:val="24"/>
        </w:rPr>
        <w:tab/>
        <w:t xml:space="preserve">Odbor nabývání majetku zadal k vypracování znalecký posudek na ocenění jednotlivých nemovitostí. </w:t>
      </w:r>
    </w:p>
    <w:p w:rsidR="00A201F0" w:rsidRDefault="00A201F0" w:rsidP="00A201F0">
      <w:pPr>
        <w:tabs>
          <w:tab w:val="left" w:pos="28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Dle znaleckého posudku č. 1168/2012 ze dne 20. 9. 2012 zpracovaného panem </w:t>
      </w:r>
      <w:proofErr w:type="spellStart"/>
      <w:r>
        <w:rPr>
          <w:sz w:val="24"/>
          <w:szCs w:val="24"/>
        </w:rPr>
        <w:t>Titlem</w:t>
      </w:r>
      <w:proofErr w:type="spellEnd"/>
      <w:r>
        <w:rPr>
          <w:sz w:val="24"/>
          <w:szCs w:val="24"/>
        </w:rPr>
        <w:t xml:space="preserve"> činí hodnota pozemků: </w:t>
      </w:r>
    </w:p>
    <w:p w:rsidR="00A201F0" w:rsidRDefault="00A201F0" w:rsidP="00A201F0">
      <w:pPr>
        <w:tabs>
          <w:tab w:val="left" w:pos="284"/>
        </w:tabs>
        <w:jc w:val="both"/>
        <w:rPr>
          <w:sz w:val="24"/>
          <w:szCs w:val="24"/>
          <w:u w:val="single"/>
        </w:rPr>
      </w:pPr>
    </w:p>
    <w:p w:rsidR="00A201F0" w:rsidRDefault="00A201F0" w:rsidP="00A201F0">
      <w:pPr>
        <w:jc w:val="center"/>
        <w:rPr>
          <w:b/>
          <w:sz w:val="24"/>
          <w:szCs w:val="24"/>
          <w:u w:val="single"/>
        </w:rPr>
      </w:pPr>
      <w:r w:rsidRPr="007A6AF2">
        <w:rPr>
          <w:b/>
          <w:sz w:val="24"/>
          <w:szCs w:val="24"/>
          <w:u w:val="single"/>
        </w:rPr>
        <w:t>Administrativní ocenění předmětných pozemků:</w:t>
      </w:r>
    </w:p>
    <w:p w:rsidR="00A201F0" w:rsidRPr="007A6AF2" w:rsidRDefault="00A201F0" w:rsidP="00A201F0">
      <w:pPr>
        <w:jc w:val="center"/>
        <w:rPr>
          <w:b/>
          <w:sz w:val="24"/>
          <w:szCs w:val="24"/>
          <w:u w:val="single"/>
        </w:rPr>
      </w:pPr>
    </w:p>
    <w:tbl>
      <w:tblPr>
        <w:tblW w:w="8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60"/>
        <w:gridCol w:w="1316"/>
        <w:gridCol w:w="1559"/>
        <w:gridCol w:w="1416"/>
        <w:gridCol w:w="1418"/>
      </w:tblGrid>
      <w:tr w:rsidR="00A201F0" w:rsidRPr="00B73FCA" w:rsidTr="00FE5C42">
        <w:trPr>
          <w:trHeight w:val="567"/>
        </w:trPr>
        <w:tc>
          <w:tcPr>
            <w:tcW w:w="4544" w:type="dxa"/>
            <w:gridSpan w:val="3"/>
            <w:shd w:val="clear" w:color="auto" w:fill="auto"/>
          </w:tcPr>
          <w:p w:rsidR="00A201F0" w:rsidRPr="00B73FCA" w:rsidRDefault="00A201F0" w:rsidP="00FE5C42">
            <w:pPr>
              <w:jc w:val="center"/>
              <w:rPr>
                <w:b/>
                <w:szCs w:val="22"/>
              </w:rPr>
            </w:pPr>
            <w:r w:rsidRPr="00B73FCA">
              <w:rPr>
                <w:b/>
                <w:szCs w:val="22"/>
              </w:rPr>
              <w:t>Pozemek ve vlastnictví pana Dobrého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A201F0" w:rsidRPr="00B73FCA" w:rsidRDefault="00A201F0" w:rsidP="00FE5C42">
            <w:pPr>
              <w:rPr>
                <w:b/>
                <w:szCs w:val="22"/>
              </w:rPr>
            </w:pPr>
            <w:r w:rsidRPr="00B73FCA">
              <w:rPr>
                <w:b/>
                <w:szCs w:val="22"/>
              </w:rPr>
              <w:t>Pozemek ve vlastnictví města</w:t>
            </w:r>
          </w:p>
        </w:tc>
      </w:tr>
      <w:tr w:rsidR="00A201F0" w:rsidRPr="00B73FCA" w:rsidTr="00FE5C42">
        <w:trPr>
          <w:trHeight w:val="454"/>
        </w:trPr>
        <w:tc>
          <w:tcPr>
            <w:tcW w:w="1668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b/>
                <w:szCs w:val="22"/>
              </w:rPr>
            </w:pPr>
            <w:proofErr w:type="spellStart"/>
            <w:proofErr w:type="gramStart"/>
            <w:r w:rsidRPr="00B73FCA">
              <w:rPr>
                <w:b/>
                <w:szCs w:val="22"/>
              </w:rPr>
              <w:t>parc</w:t>
            </w:r>
            <w:proofErr w:type="spellEnd"/>
            <w:r w:rsidRPr="00B73FCA">
              <w:rPr>
                <w:b/>
                <w:szCs w:val="22"/>
              </w:rPr>
              <w:t>. č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201F0" w:rsidRPr="00B73FCA" w:rsidRDefault="00A201F0" w:rsidP="00FE5C42">
            <w:pPr>
              <w:ind w:firstLine="33"/>
              <w:rPr>
                <w:b/>
                <w:szCs w:val="22"/>
                <w:vertAlign w:val="superscript"/>
              </w:rPr>
            </w:pPr>
            <w:r w:rsidRPr="00B73FCA">
              <w:rPr>
                <w:b/>
                <w:szCs w:val="22"/>
              </w:rPr>
              <w:t>cena m</w:t>
            </w:r>
            <w:r w:rsidRPr="00B73FCA">
              <w:rPr>
                <w:b/>
                <w:szCs w:val="22"/>
                <w:vertAlign w:val="superscript"/>
              </w:rPr>
              <w:t>2</w:t>
            </w:r>
          </w:p>
        </w:tc>
        <w:tc>
          <w:tcPr>
            <w:tcW w:w="1316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b/>
                <w:szCs w:val="22"/>
              </w:rPr>
            </w:pPr>
            <w:r w:rsidRPr="00B73FCA">
              <w:rPr>
                <w:b/>
                <w:szCs w:val="22"/>
              </w:rPr>
              <w:t>celkem Kč</w:t>
            </w:r>
          </w:p>
        </w:tc>
        <w:tc>
          <w:tcPr>
            <w:tcW w:w="1559" w:type="dxa"/>
            <w:shd w:val="clear" w:color="auto" w:fill="auto"/>
          </w:tcPr>
          <w:p w:rsidR="00A201F0" w:rsidRPr="00B73FCA" w:rsidRDefault="00A201F0" w:rsidP="00FE5C42">
            <w:pPr>
              <w:ind w:firstLine="31"/>
              <w:rPr>
                <w:b/>
                <w:szCs w:val="22"/>
              </w:rPr>
            </w:pPr>
            <w:proofErr w:type="spellStart"/>
            <w:r w:rsidRPr="00B73FCA">
              <w:rPr>
                <w:b/>
                <w:szCs w:val="22"/>
              </w:rPr>
              <w:t>parc</w:t>
            </w:r>
            <w:proofErr w:type="spellEnd"/>
            <w:r w:rsidRPr="00B73FCA">
              <w:rPr>
                <w:b/>
                <w:szCs w:val="22"/>
              </w:rPr>
              <w:t xml:space="preserve">. </w:t>
            </w:r>
            <w:proofErr w:type="gramStart"/>
            <w:r w:rsidRPr="00B73FCA">
              <w:rPr>
                <w:b/>
                <w:szCs w:val="22"/>
              </w:rPr>
              <w:t>č.</w:t>
            </w:r>
            <w:proofErr w:type="gramEnd"/>
          </w:p>
        </w:tc>
        <w:tc>
          <w:tcPr>
            <w:tcW w:w="1416" w:type="dxa"/>
            <w:shd w:val="clear" w:color="auto" w:fill="auto"/>
          </w:tcPr>
          <w:p w:rsidR="00A201F0" w:rsidRPr="00B73FCA" w:rsidRDefault="00A201F0" w:rsidP="00FE5C42">
            <w:pPr>
              <w:ind w:firstLine="18"/>
              <w:rPr>
                <w:b/>
                <w:szCs w:val="22"/>
              </w:rPr>
            </w:pPr>
            <w:r w:rsidRPr="00B73FCA">
              <w:rPr>
                <w:b/>
                <w:szCs w:val="22"/>
              </w:rPr>
              <w:t>cena za m</w:t>
            </w:r>
            <w:r w:rsidRPr="00B73FCA">
              <w:rPr>
                <w:b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201F0" w:rsidRPr="00B73FCA" w:rsidRDefault="00A201F0" w:rsidP="00FE5C42">
            <w:pPr>
              <w:ind w:hanging="6"/>
              <w:rPr>
                <w:b/>
                <w:szCs w:val="22"/>
              </w:rPr>
            </w:pPr>
            <w:r w:rsidRPr="00B73FCA">
              <w:rPr>
                <w:b/>
                <w:szCs w:val="22"/>
              </w:rPr>
              <w:t>celkem Kč</w:t>
            </w:r>
          </w:p>
        </w:tc>
      </w:tr>
      <w:tr w:rsidR="00A201F0" w:rsidRPr="00B73FCA" w:rsidTr="00FE5C42">
        <w:trPr>
          <w:trHeight w:val="454"/>
        </w:trPr>
        <w:tc>
          <w:tcPr>
            <w:tcW w:w="1668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szCs w:val="22"/>
              </w:rPr>
            </w:pPr>
            <w:r w:rsidRPr="00B73FCA">
              <w:rPr>
                <w:szCs w:val="22"/>
              </w:rPr>
              <w:t>2160</w:t>
            </w:r>
          </w:p>
        </w:tc>
        <w:tc>
          <w:tcPr>
            <w:tcW w:w="1560" w:type="dxa"/>
            <w:shd w:val="clear" w:color="auto" w:fill="auto"/>
          </w:tcPr>
          <w:p w:rsidR="00A201F0" w:rsidRPr="00B73FCA" w:rsidRDefault="00A201F0" w:rsidP="00FE5C42">
            <w:pPr>
              <w:ind w:firstLine="33"/>
              <w:rPr>
                <w:szCs w:val="22"/>
              </w:rPr>
            </w:pPr>
            <w:r w:rsidRPr="00B73FCA">
              <w:rPr>
                <w:szCs w:val="22"/>
              </w:rPr>
              <w:t>5,-</w:t>
            </w:r>
          </w:p>
        </w:tc>
        <w:tc>
          <w:tcPr>
            <w:tcW w:w="1316" w:type="dxa"/>
            <w:shd w:val="clear" w:color="auto" w:fill="auto"/>
          </w:tcPr>
          <w:p w:rsidR="00A201F0" w:rsidRPr="00B73FCA" w:rsidRDefault="00A201F0" w:rsidP="00FE5C42">
            <w:pPr>
              <w:ind w:firstLine="15"/>
              <w:rPr>
                <w:szCs w:val="22"/>
              </w:rPr>
            </w:pPr>
            <w:r w:rsidRPr="00B73FCA">
              <w:rPr>
                <w:szCs w:val="22"/>
              </w:rPr>
              <w:t>23 682,-</w:t>
            </w:r>
          </w:p>
        </w:tc>
        <w:tc>
          <w:tcPr>
            <w:tcW w:w="1559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szCs w:val="22"/>
              </w:rPr>
            </w:pPr>
            <w:r w:rsidRPr="00B73FCA">
              <w:rPr>
                <w:szCs w:val="22"/>
              </w:rPr>
              <w:t>3574</w:t>
            </w:r>
          </w:p>
        </w:tc>
        <w:tc>
          <w:tcPr>
            <w:tcW w:w="1416" w:type="dxa"/>
            <w:shd w:val="clear" w:color="auto" w:fill="auto"/>
          </w:tcPr>
          <w:p w:rsidR="00A201F0" w:rsidRPr="00B73FCA" w:rsidRDefault="00A201F0" w:rsidP="00FE5C42">
            <w:pPr>
              <w:ind w:hanging="7"/>
              <w:rPr>
                <w:szCs w:val="22"/>
              </w:rPr>
            </w:pPr>
            <w:r w:rsidRPr="00B73FCA">
              <w:rPr>
                <w:szCs w:val="22"/>
              </w:rPr>
              <w:t>2 265,-</w:t>
            </w:r>
          </w:p>
        </w:tc>
        <w:tc>
          <w:tcPr>
            <w:tcW w:w="1418" w:type="dxa"/>
            <w:shd w:val="clear" w:color="auto" w:fill="auto"/>
          </w:tcPr>
          <w:p w:rsidR="00A201F0" w:rsidRPr="00B73FCA" w:rsidRDefault="00A201F0" w:rsidP="00FE5C42">
            <w:pPr>
              <w:ind w:hanging="6"/>
              <w:rPr>
                <w:szCs w:val="22"/>
              </w:rPr>
            </w:pPr>
            <w:r w:rsidRPr="00B73FCA">
              <w:rPr>
                <w:szCs w:val="22"/>
              </w:rPr>
              <w:t>3 671 468,-</w:t>
            </w:r>
          </w:p>
        </w:tc>
      </w:tr>
      <w:tr w:rsidR="00A201F0" w:rsidRPr="00B73FCA" w:rsidTr="00FE5C42">
        <w:trPr>
          <w:trHeight w:val="454"/>
        </w:trPr>
        <w:tc>
          <w:tcPr>
            <w:tcW w:w="1668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szCs w:val="22"/>
              </w:rPr>
            </w:pPr>
            <w:proofErr w:type="spellStart"/>
            <w:r w:rsidRPr="00B73FCA">
              <w:rPr>
                <w:szCs w:val="22"/>
              </w:rPr>
              <w:t>trv</w:t>
            </w:r>
            <w:proofErr w:type="spellEnd"/>
            <w:r w:rsidRPr="00B73FCA">
              <w:rPr>
                <w:szCs w:val="22"/>
              </w:rPr>
              <w:t xml:space="preserve">. porosty na </w:t>
            </w:r>
            <w:proofErr w:type="spellStart"/>
            <w:proofErr w:type="gramStart"/>
            <w:r w:rsidRPr="00B73FCA">
              <w:rPr>
                <w:szCs w:val="22"/>
              </w:rPr>
              <w:t>p.č</w:t>
            </w:r>
            <w:proofErr w:type="spellEnd"/>
            <w:r w:rsidRPr="00B73FCA">
              <w:rPr>
                <w:szCs w:val="22"/>
              </w:rPr>
              <w:t>.</w:t>
            </w:r>
            <w:proofErr w:type="gramEnd"/>
            <w:r w:rsidRPr="00B73FCA">
              <w:rPr>
                <w:szCs w:val="22"/>
              </w:rPr>
              <w:t xml:space="preserve"> 2160</w:t>
            </w:r>
          </w:p>
        </w:tc>
        <w:tc>
          <w:tcPr>
            <w:tcW w:w="1560" w:type="dxa"/>
            <w:shd w:val="clear" w:color="auto" w:fill="auto"/>
          </w:tcPr>
          <w:p w:rsidR="00A201F0" w:rsidRPr="00B73FCA" w:rsidRDefault="00A201F0" w:rsidP="00FE5C42">
            <w:pPr>
              <w:ind w:firstLine="59"/>
              <w:rPr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szCs w:val="22"/>
              </w:rPr>
            </w:pPr>
            <w:r w:rsidRPr="00B73FCA">
              <w:rPr>
                <w:szCs w:val="22"/>
              </w:rPr>
              <w:t>18 832,-</w:t>
            </w:r>
          </w:p>
        </w:tc>
        <w:tc>
          <w:tcPr>
            <w:tcW w:w="1559" w:type="dxa"/>
            <w:shd w:val="clear" w:color="auto" w:fill="auto"/>
          </w:tcPr>
          <w:p w:rsidR="00A201F0" w:rsidRPr="00B73FCA" w:rsidRDefault="00A201F0" w:rsidP="00FE5C42">
            <w:pPr>
              <w:rPr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A201F0" w:rsidRPr="00B73FCA" w:rsidRDefault="00A201F0" w:rsidP="00FE5C4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201F0" w:rsidRPr="00B73FCA" w:rsidRDefault="00A201F0" w:rsidP="00FE5C42">
            <w:pPr>
              <w:rPr>
                <w:szCs w:val="22"/>
              </w:rPr>
            </w:pPr>
          </w:p>
        </w:tc>
      </w:tr>
      <w:tr w:rsidR="00A201F0" w:rsidRPr="00B73FCA" w:rsidTr="00FE5C42">
        <w:trPr>
          <w:trHeight w:val="454"/>
        </w:trPr>
        <w:tc>
          <w:tcPr>
            <w:tcW w:w="1668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szCs w:val="22"/>
              </w:rPr>
            </w:pPr>
            <w:r w:rsidRPr="00B73FCA">
              <w:rPr>
                <w:szCs w:val="22"/>
              </w:rPr>
              <w:t>průměrná cena</w:t>
            </w:r>
          </w:p>
          <w:p w:rsidR="00A201F0" w:rsidRPr="00B73FCA" w:rsidRDefault="00A201F0" w:rsidP="00FE5C42">
            <w:pPr>
              <w:ind w:firstLine="0"/>
              <w:rPr>
                <w:szCs w:val="22"/>
              </w:rPr>
            </w:pPr>
            <w:r w:rsidRPr="00B73FCA">
              <w:rPr>
                <w:szCs w:val="22"/>
              </w:rPr>
              <w:t>včetně porostů</w:t>
            </w:r>
          </w:p>
        </w:tc>
        <w:tc>
          <w:tcPr>
            <w:tcW w:w="1560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szCs w:val="22"/>
              </w:rPr>
            </w:pPr>
            <w:r w:rsidRPr="00B73FCA">
              <w:rPr>
                <w:szCs w:val="22"/>
              </w:rPr>
              <w:t>9,-</w:t>
            </w:r>
          </w:p>
        </w:tc>
        <w:tc>
          <w:tcPr>
            <w:tcW w:w="1316" w:type="dxa"/>
            <w:shd w:val="clear" w:color="auto" w:fill="auto"/>
          </w:tcPr>
          <w:p w:rsidR="00A201F0" w:rsidRPr="00B73FCA" w:rsidRDefault="00A201F0" w:rsidP="00FE5C42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201F0" w:rsidRPr="00B73FCA" w:rsidRDefault="00A201F0" w:rsidP="00FE5C42">
            <w:pPr>
              <w:rPr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A201F0" w:rsidRPr="00B73FCA" w:rsidRDefault="00A201F0" w:rsidP="00FE5C4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201F0" w:rsidRPr="00B73FCA" w:rsidRDefault="00A201F0" w:rsidP="00FE5C42">
            <w:pPr>
              <w:rPr>
                <w:szCs w:val="22"/>
              </w:rPr>
            </w:pPr>
          </w:p>
        </w:tc>
      </w:tr>
      <w:tr w:rsidR="00A201F0" w:rsidRPr="00353316" w:rsidTr="00FE5C42">
        <w:trPr>
          <w:trHeight w:val="454"/>
        </w:trPr>
        <w:tc>
          <w:tcPr>
            <w:tcW w:w="3228" w:type="dxa"/>
            <w:gridSpan w:val="2"/>
            <w:shd w:val="clear" w:color="auto" w:fill="auto"/>
          </w:tcPr>
          <w:p w:rsidR="00A201F0" w:rsidRPr="00AB5144" w:rsidRDefault="00A201F0" w:rsidP="00FE5C42">
            <w:pPr>
              <w:rPr>
                <w:b/>
                <w:sz w:val="24"/>
                <w:szCs w:val="24"/>
              </w:rPr>
            </w:pPr>
            <w:r w:rsidRPr="00AB5144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316" w:type="dxa"/>
            <w:shd w:val="clear" w:color="auto" w:fill="auto"/>
          </w:tcPr>
          <w:p w:rsidR="00A201F0" w:rsidRPr="00AB5144" w:rsidRDefault="00A201F0" w:rsidP="00FE5C42">
            <w:pPr>
              <w:ind w:firstLine="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42 514,-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A201F0" w:rsidRPr="00AB5144" w:rsidRDefault="00A201F0" w:rsidP="00FE5C42">
            <w:pPr>
              <w:rPr>
                <w:b/>
                <w:sz w:val="24"/>
                <w:szCs w:val="24"/>
              </w:rPr>
            </w:pPr>
            <w:r w:rsidRPr="00AB5144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418" w:type="dxa"/>
            <w:shd w:val="clear" w:color="auto" w:fill="auto"/>
          </w:tcPr>
          <w:p w:rsidR="00A201F0" w:rsidRPr="00AB5144" w:rsidRDefault="00A201F0" w:rsidP="00FE5C42">
            <w:pPr>
              <w:ind w:hanging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3 671 468</w:t>
            </w:r>
            <w:r w:rsidRPr="00AB5144">
              <w:rPr>
                <w:b/>
                <w:sz w:val="24"/>
                <w:szCs w:val="24"/>
              </w:rPr>
              <w:t>,-</w:t>
            </w:r>
          </w:p>
        </w:tc>
      </w:tr>
    </w:tbl>
    <w:p w:rsidR="00A201F0" w:rsidRDefault="00A201F0" w:rsidP="00A201F0">
      <w:pPr>
        <w:jc w:val="center"/>
        <w:rPr>
          <w:b/>
          <w:sz w:val="24"/>
          <w:szCs w:val="24"/>
          <w:u w:val="single"/>
        </w:rPr>
      </w:pPr>
    </w:p>
    <w:p w:rsidR="00A201F0" w:rsidRPr="007A6AF2" w:rsidRDefault="00A201F0" w:rsidP="00A201F0">
      <w:pPr>
        <w:jc w:val="center"/>
        <w:rPr>
          <w:b/>
          <w:sz w:val="24"/>
          <w:szCs w:val="24"/>
          <w:u w:val="single"/>
        </w:rPr>
      </w:pPr>
    </w:p>
    <w:p w:rsidR="00A201F0" w:rsidRDefault="00A201F0" w:rsidP="00A201F0">
      <w:pPr>
        <w:jc w:val="center"/>
        <w:rPr>
          <w:b/>
          <w:sz w:val="24"/>
          <w:szCs w:val="24"/>
          <w:u w:val="single"/>
        </w:rPr>
      </w:pPr>
      <w:r w:rsidRPr="007A6AF2">
        <w:rPr>
          <w:b/>
          <w:sz w:val="24"/>
          <w:szCs w:val="24"/>
          <w:u w:val="single"/>
        </w:rPr>
        <w:t>Cena obvyklá v místě a čase předmětných pozemků:</w:t>
      </w:r>
    </w:p>
    <w:p w:rsidR="00A201F0" w:rsidRPr="007A6AF2" w:rsidRDefault="00A201F0" w:rsidP="00A201F0">
      <w:pPr>
        <w:jc w:val="center"/>
        <w:rPr>
          <w:b/>
          <w:sz w:val="24"/>
          <w:szCs w:val="24"/>
          <w:u w:val="single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844"/>
        <w:gridCol w:w="1132"/>
        <w:gridCol w:w="1418"/>
        <w:gridCol w:w="1559"/>
      </w:tblGrid>
      <w:tr w:rsidR="00A201F0" w:rsidRPr="00353316" w:rsidTr="00FE5C42">
        <w:trPr>
          <w:trHeight w:val="567"/>
        </w:trPr>
        <w:tc>
          <w:tcPr>
            <w:tcW w:w="4079" w:type="dxa"/>
            <w:gridSpan w:val="3"/>
            <w:shd w:val="clear" w:color="auto" w:fill="auto"/>
          </w:tcPr>
          <w:p w:rsidR="00A201F0" w:rsidRPr="00AB5144" w:rsidRDefault="00A201F0" w:rsidP="00FE5C42">
            <w:pPr>
              <w:jc w:val="center"/>
              <w:rPr>
                <w:b/>
                <w:sz w:val="24"/>
                <w:szCs w:val="24"/>
              </w:rPr>
            </w:pPr>
            <w:r w:rsidRPr="00AB5144">
              <w:rPr>
                <w:b/>
                <w:sz w:val="24"/>
                <w:szCs w:val="24"/>
              </w:rPr>
              <w:t>Pozemek ve vlastnictví pana Dobrého</w:t>
            </w:r>
          </w:p>
        </w:tc>
        <w:tc>
          <w:tcPr>
            <w:tcW w:w="4109" w:type="dxa"/>
            <w:gridSpan w:val="3"/>
            <w:shd w:val="clear" w:color="auto" w:fill="auto"/>
          </w:tcPr>
          <w:p w:rsidR="00A201F0" w:rsidRPr="00AB5144" w:rsidRDefault="00A201F0" w:rsidP="00FE5C42">
            <w:pPr>
              <w:rPr>
                <w:b/>
                <w:sz w:val="24"/>
                <w:szCs w:val="24"/>
              </w:rPr>
            </w:pPr>
            <w:r w:rsidRPr="00AB5144">
              <w:rPr>
                <w:b/>
                <w:sz w:val="24"/>
                <w:szCs w:val="24"/>
              </w:rPr>
              <w:t>Pozemek ve vlastnictví města</w:t>
            </w:r>
          </w:p>
        </w:tc>
      </w:tr>
      <w:tr w:rsidR="00A201F0" w:rsidRPr="00353316" w:rsidTr="00FE5C42">
        <w:trPr>
          <w:trHeight w:val="454"/>
        </w:trPr>
        <w:tc>
          <w:tcPr>
            <w:tcW w:w="1101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b/>
                <w:szCs w:val="22"/>
              </w:rPr>
            </w:pPr>
            <w:proofErr w:type="spellStart"/>
            <w:proofErr w:type="gramStart"/>
            <w:r w:rsidRPr="00B73FCA">
              <w:rPr>
                <w:b/>
                <w:szCs w:val="22"/>
              </w:rPr>
              <w:t>parc</w:t>
            </w:r>
            <w:proofErr w:type="spellEnd"/>
            <w:r w:rsidRPr="00B73FCA">
              <w:rPr>
                <w:b/>
                <w:szCs w:val="22"/>
              </w:rPr>
              <w:t>. č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b/>
                <w:szCs w:val="22"/>
                <w:vertAlign w:val="superscript"/>
              </w:rPr>
            </w:pPr>
            <w:r w:rsidRPr="00B73FCA">
              <w:rPr>
                <w:b/>
                <w:szCs w:val="22"/>
              </w:rPr>
              <w:t>cena m</w:t>
            </w:r>
            <w:r w:rsidRPr="00B73FCA">
              <w:rPr>
                <w:b/>
                <w:szCs w:val="22"/>
                <w:vertAlign w:val="superscript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A201F0" w:rsidRPr="00B73FCA" w:rsidRDefault="00A201F0" w:rsidP="00FE5C42">
            <w:pPr>
              <w:ind w:firstLine="34"/>
              <w:rPr>
                <w:b/>
                <w:szCs w:val="22"/>
              </w:rPr>
            </w:pPr>
            <w:r w:rsidRPr="00B73FCA">
              <w:rPr>
                <w:b/>
                <w:szCs w:val="22"/>
              </w:rPr>
              <w:t>celkem Kč</w:t>
            </w:r>
          </w:p>
        </w:tc>
        <w:tc>
          <w:tcPr>
            <w:tcW w:w="1132" w:type="dxa"/>
            <w:shd w:val="clear" w:color="auto" w:fill="auto"/>
          </w:tcPr>
          <w:p w:rsidR="00A201F0" w:rsidRPr="00B73FCA" w:rsidRDefault="00A201F0" w:rsidP="00FE5C42">
            <w:pPr>
              <w:ind w:firstLine="34"/>
              <w:rPr>
                <w:b/>
                <w:szCs w:val="22"/>
              </w:rPr>
            </w:pPr>
            <w:proofErr w:type="spellStart"/>
            <w:r w:rsidRPr="00B73FCA">
              <w:rPr>
                <w:b/>
                <w:szCs w:val="22"/>
              </w:rPr>
              <w:t>parc</w:t>
            </w:r>
            <w:proofErr w:type="spellEnd"/>
            <w:r w:rsidRPr="00B73FCA">
              <w:rPr>
                <w:b/>
                <w:szCs w:val="22"/>
              </w:rPr>
              <w:t xml:space="preserve">. </w:t>
            </w:r>
            <w:proofErr w:type="gramStart"/>
            <w:r w:rsidRPr="00B73FCA">
              <w:rPr>
                <w:b/>
                <w:szCs w:val="22"/>
              </w:rPr>
              <w:t>č.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A201F0" w:rsidRPr="00B73FCA" w:rsidRDefault="00A201F0" w:rsidP="00FE5C42">
            <w:pPr>
              <w:ind w:firstLine="34"/>
              <w:rPr>
                <w:b/>
                <w:szCs w:val="22"/>
              </w:rPr>
            </w:pPr>
            <w:r w:rsidRPr="00B73FCA">
              <w:rPr>
                <w:b/>
                <w:szCs w:val="22"/>
              </w:rPr>
              <w:t>cena za m</w:t>
            </w:r>
            <w:r w:rsidRPr="00B73FCA">
              <w:rPr>
                <w:b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201F0" w:rsidRPr="00B73FCA" w:rsidRDefault="00A201F0" w:rsidP="00FE5C42">
            <w:pPr>
              <w:ind w:firstLine="34"/>
              <w:rPr>
                <w:b/>
                <w:szCs w:val="22"/>
              </w:rPr>
            </w:pPr>
            <w:r w:rsidRPr="00B73FCA">
              <w:rPr>
                <w:b/>
                <w:szCs w:val="22"/>
              </w:rPr>
              <w:t>celkem Kč</w:t>
            </w:r>
          </w:p>
        </w:tc>
      </w:tr>
      <w:tr w:rsidR="00A201F0" w:rsidRPr="00353316" w:rsidTr="00FE5C42">
        <w:trPr>
          <w:trHeight w:val="454"/>
        </w:trPr>
        <w:tc>
          <w:tcPr>
            <w:tcW w:w="1101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szCs w:val="22"/>
              </w:rPr>
            </w:pPr>
            <w:r w:rsidRPr="00B73FCA">
              <w:rPr>
                <w:szCs w:val="22"/>
              </w:rPr>
              <w:t>2160</w:t>
            </w:r>
          </w:p>
        </w:tc>
        <w:tc>
          <w:tcPr>
            <w:tcW w:w="1134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szCs w:val="22"/>
              </w:rPr>
            </w:pPr>
            <w:r w:rsidRPr="00B73FCA">
              <w:rPr>
                <w:szCs w:val="22"/>
              </w:rPr>
              <w:t>9,-</w:t>
            </w:r>
          </w:p>
        </w:tc>
        <w:tc>
          <w:tcPr>
            <w:tcW w:w="1844" w:type="dxa"/>
            <w:shd w:val="clear" w:color="auto" w:fill="auto"/>
          </w:tcPr>
          <w:p w:rsidR="00A201F0" w:rsidRPr="00B73FCA" w:rsidRDefault="00A201F0" w:rsidP="00FE5C42">
            <w:pPr>
              <w:ind w:firstLine="34"/>
              <w:rPr>
                <w:szCs w:val="22"/>
              </w:rPr>
            </w:pPr>
            <w:r w:rsidRPr="00B73FCA">
              <w:rPr>
                <w:szCs w:val="22"/>
              </w:rPr>
              <w:t>42 510,-</w:t>
            </w:r>
          </w:p>
        </w:tc>
        <w:tc>
          <w:tcPr>
            <w:tcW w:w="1132" w:type="dxa"/>
            <w:shd w:val="clear" w:color="auto" w:fill="auto"/>
          </w:tcPr>
          <w:p w:rsidR="00A201F0" w:rsidRPr="00B73FCA" w:rsidRDefault="00A201F0" w:rsidP="00FE5C42">
            <w:pPr>
              <w:ind w:firstLine="34"/>
              <w:rPr>
                <w:szCs w:val="22"/>
              </w:rPr>
            </w:pPr>
            <w:r w:rsidRPr="00B73FCA">
              <w:rPr>
                <w:szCs w:val="22"/>
              </w:rPr>
              <w:t>3574</w:t>
            </w:r>
          </w:p>
        </w:tc>
        <w:tc>
          <w:tcPr>
            <w:tcW w:w="1418" w:type="dxa"/>
            <w:shd w:val="clear" w:color="auto" w:fill="auto"/>
          </w:tcPr>
          <w:p w:rsidR="00A201F0" w:rsidRPr="00B73FCA" w:rsidRDefault="00A201F0" w:rsidP="00FE5C42">
            <w:pPr>
              <w:ind w:firstLine="34"/>
              <w:rPr>
                <w:szCs w:val="22"/>
              </w:rPr>
            </w:pPr>
            <w:r w:rsidRPr="00B73FCA">
              <w:rPr>
                <w:szCs w:val="22"/>
              </w:rPr>
              <w:t>2 300,-</w:t>
            </w:r>
          </w:p>
        </w:tc>
        <w:tc>
          <w:tcPr>
            <w:tcW w:w="1559" w:type="dxa"/>
            <w:shd w:val="clear" w:color="auto" w:fill="auto"/>
          </w:tcPr>
          <w:p w:rsidR="00A201F0" w:rsidRPr="00B73FCA" w:rsidRDefault="00A201F0" w:rsidP="00FE5C42">
            <w:pPr>
              <w:ind w:firstLine="34"/>
              <w:rPr>
                <w:szCs w:val="22"/>
              </w:rPr>
            </w:pPr>
            <w:r w:rsidRPr="00B73FCA">
              <w:rPr>
                <w:szCs w:val="22"/>
              </w:rPr>
              <w:t>3 728 300,-</w:t>
            </w:r>
          </w:p>
        </w:tc>
      </w:tr>
      <w:tr w:rsidR="00A201F0" w:rsidRPr="00353316" w:rsidTr="00FE5C42">
        <w:trPr>
          <w:trHeight w:val="454"/>
        </w:trPr>
        <w:tc>
          <w:tcPr>
            <w:tcW w:w="2235" w:type="dxa"/>
            <w:gridSpan w:val="2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b/>
                <w:szCs w:val="22"/>
              </w:rPr>
            </w:pPr>
            <w:r w:rsidRPr="00B73FCA">
              <w:rPr>
                <w:b/>
                <w:szCs w:val="22"/>
              </w:rPr>
              <w:t>Celkem</w:t>
            </w:r>
          </w:p>
        </w:tc>
        <w:tc>
          <w:tcPr>
            <w:tcW w:w="1844" w:type="dxa"/>
            <w:shd w:val="clear" w:color="auto" w:fill="auto"/>
          </w:tcPr>
          <w:p w:rsidR="00A201F0" w:rsidRPr="00B73FCA" w:rsidRDefault="00A201F0" w:rsidP="00FE5C42">
            <w:pPr>
              <w:ind w:firstLine="15"/>
              <w:rPr>
                <w:b/>
                <w:szCs w:val="22"/>
              </w:rPr>
            </w:pPr>
            <w:r w:rsidRPr="00B73FCA">
              <w:rPr>
                <w:b/>
                <w:szCs w:val="22"/>
              </w:rPr>
              <w:t>42 514,-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201F0" w:rsidRPr="00B73FCA" w:rsidRDefault="00A201F0" w:rsidP="00FE5C42">
            <w:pPr>
              <w:rPr>
                <w:b/>
                <w:szCs w:val="22"/>
              </w:rPr>
            </w:pPr>
            <w:r w:rsidRPr="00B73FCA">
              <w:rPr>
                <w:b/>
                <w:szCs w:val="22"/>
              </w:rPr>
              <w:t>Celkem</w:t>
            </w:r>
          </w:p>
        </w:tc>
        <w:tc>
          <w:tcPr>
            <w:tcW w:w="1559" w:type="dxa"/>
            <w:shd w:val="clear" w:color="auto" w:fill="auto"/>
          </w:tcPr>
          <w:p w:rsidR="00A201F0" w:rsidRPr="00B73FCA" w:rsidRDefault="00A201F0" w:rsidP="00FE5C42">
            <w:pPr>
              <w:ind w:hanging="12"/>
              <w:rPr>
                <w:b/>
                <w:szCs w:val="22"/>
              </w:rPr>
            </w:pPr>
            <w:r w:rsidRPr="00B73FCA">
              <w:rPr>
                <w:b/>
                <w:szCs w:val="22"/>
              </w:rPr>
              <w:t>3 728 300,-</w:t>
            </w:r>
          </w:p>
        </w:tc>
      </w:tr>
    </w:tbl>
    <w:p w:rsidR="00A201F0" w:rsidRDefault="00A201F0" w:rsidP="00A201F0">
      <w:pPr>
        <w:rPr>
          <w:sz w:val="24"/>
          <w:szCs w:val="24"/>
        </w:rPr>
      </w:pPr>
    </w:p>
    <w:p w:rsidR="00A201F0" w:rsidRDefault="00A201F0" w:rsidP="00A201F0">
      <w:pPr>
        <w:ind w:firstLine="28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Směny s městem jsou realizovány v obvyklých cenách.</w:t>
      </w:r>
    </w:p>
    <w:p w:rsidR="00A201F0" w:rsidRPr="00B404E7" w:rsidRDefault="00A201F0" w:rsidP="00A201F0">
      <w:pPr>
        <w:ind w:firstLine="28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Rozdíl činí 3 685 786,- Kč. </w:t>
      </w:r>
    </w:p>
    <w:p w:rsidR="00A201F0" w:rsidRDefault="00A201F0" w:rsidP="00A201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201F0" w:rsidRDefault="00A201F0" w:rsidP="00A201F0">
      <w:pPr>
        <w:tabs>
          <w:tab w:val="left" w:pos="28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 MMP seznámil vlastníka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2160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Bolevec s výše uvedeným oceněním s tím, že směna by byla realizována v cenách obvyklých a s finančním vyrovnáním ve prospěch města Plzně.</w:t>
      </w:r>
    </w:p>
    <w:p w:rsidR="00A201F0" w:rsidRPr="000B0005" w:rsidRDefault="00A201F0" w:rsidP="00A201F0">
      <w:pPr>
        <w:tabs>
          <w:tab w:val="left" w:pos="284"/>
        </w:tabs>
        <w:ind w:firstLine="284"/>
        <w:jc w:val="both"/>
        <w:rPr>
          <w:sz w:val="24"/>
          <w:szCs w:val="24"/>
        </w:rPr>
      </w:pPr>
      <w:r w:rsidRPr="000B0005">
        <w:rPr>
          <w:sz w:val="24"/>
          <w:szCs w:val="24"/>
        </w:rPr>
        <w:t>Vlastník pozemku nesouhlasí s oceněním nemovitostí dle znaleckého posudku zadaného městem Plzní a požaduje realizovat směnu dle ocenění zadané jeho osobou s tím, že doplatek rozdílu v cenách uhradí před podpisem směnné smlouvy.</w:t>
      </w:r>
    </w:p>
    <w:p w:rsidR="00A201F0" w:rsidRDefault="00A201F0" w:rsidP="00A201F0">
      <w:pPr>
        <w:tabs>
          <w:tab w:val="left" w:pos="284"/>
        </w:tabs>
        <w:ind w:firstLine="284"/>
        <w:jc w:val="both"/>
        <w:rPr>
          <w:sz w:val="24"/>
          <w:szCs w:val="24"/>
        </w:rPr>
      </w:pPr>
      <w:r w:rsidRPr="000B0005">
        <w:rPr>
          <w:sz w:val="24"/>
          <w:szCs w:val="24"/>
        </w:rPr>
        <w:t xml:space="preserve">Na MAJ MMP předložil </w:t>
      </w:r>
      <w:r>
        <w:rPr>
          <w:sz w:val="24"/>
          <w:szCs w:val="24"/>
        </w:rPr>
        <w:t>pan Dobrý ocenění</w:t>
      </w:r>
      <w:r w:rsidRPr="000B0005">
        <w:rPr>
          <w:sz w:val="24"/>
          <w:szCs w:val="24"/>
        </w:rPr>
        <w:t xml:space="preserve"> pozemku </w:t>
      </w:r>
      <w:proofErr w:type="spellStart"/>
      <w:r w:rsidRPr="000B0005">
        <w:rPr>
          <w:sz w:val="24"/>
          <w:szCs w:val="24"/>
        </w:rPr>
        <w:t>parc</w:t>
      </w:r>
      <w:proofErr w:type="spellEnd"/>
      <w:r w:rsidRPr="000B0005">
        <w:rPr>
          <w:sz w:val="24"/>
          <w:szCs w:val="24"/>
        </w:rPr>
        <w:t>. č. 2</w:t>
      </w:r>
      <w:r>
        <w:rPr>
          <w:sz w:val="24"/>
          <w:szCs w:val="24"/>
        </w:rPr>
        <w:t>1</w:t>
      </w:r>
      <w:r w:rsidRPr="000B0005">
        <w:rPr>
          <w:sz w:val="24"/>
          <w:szCs w:val="24"/>
        </w:rPr>
        <w:t xml:space="preserve">60 </w:t>
      </w:r>
      <w:proofErr w:type="spellStart"/>
      <w:proofErr w:type="gramStart"/>
      <w:r w:rsidRPr="000B0005">
        <w:rPr>
          <w:sz w:val="24"/>
          <w:szCs w:val="24"/>
        </w:rPr>
        <w:t>k.ú</w:t>
      </w:r>
      <w:proofErr w:type="spellEnd"/>
      <w:r w:rsidRPr="000B0005">
        <w:rPr>
          <w:sz w:val="24"/>
          <w:szCs w:val="24"/>
        </w:rPr>
        <w:t>.</w:t>
      </w:r>
      <w:proofErr w:type="gramEnd"/>
      <w:r w:rsidRPr="000B0005">
        <w:rPr>
          <w:sz w:val="24"/>
          <w:szCs w:val="24"/>
        </w:rPr>
        <w:t xml:space="preserve"> Bolevec i ocenění pozemku </w:t>
      </w:r>
      <w:proofErr w:type="spellStart"/>
      <w:r w:rsidRPr="000B0005">
        <w:rPr>
          <w:sz w:val="24"/>
          <w:szCs w:val="24"/>
        </w:rPr>
        <w:t>parc</w:t>
      </w:r>
      <w:proofErr w:type="spellEnd"/>
      <w:r w:rsidRPr="000B0005">
        <w:rPr>
          <w:sz w:val="24"/>
          <w:szCs w:val="24"/>
        </w:rPr>
        <w:t xml:space="preserve">. </w:t>
      </w:r>
      <w:proofErr w:type="gramStart"/>
      <w:r w:rsidRPr="000B0005">
        <w:rPr>
          <w:sz w:val="24"/>
          <w:szCs w:val="24"/>
        </w:rPr>
        <w:t>č.</w:t>
      </w:r>
      <w:proofErr w:type="gramEnd"/>
      <w:r w:rsidRPr="000B0005">
        <w:rPr>
          <w:sz w:val="24"/>
          <w:szCs w:val="24"/>
        </w:rPr>
        <w:t xml:space="preserve"> 3574 k. </w:t>
      </w:r>
      <w:proofErr w:type="spellStart"/>
      <w:r w:rsidRPr="000B0005">
        <w:rPr>
          <w:sz w:val="24"/>
          <w:szCs w:val="24"/>
        </w:rPr>
        <w:t>ú.</w:t>
      </w:r>
      <w:proofErr w:type="spellEnd"/>
      <w:r w:rsidRPr="000B0005">
        <w:rPr>
          <w:sz w:val="24"/>
          <w:szCs w:val="24"/>
        </w:rPr>
        <w:t xml:space="preserve"> Bolevec. </w:t>
      </w:r>
    </w:p>
    <w:p w:rsidR="00A201F0" w:rsidRDefault="00A201F0" w:rsidP="00A201F0">
      <w:pPr>
        <w:tabs>
          <w:tab w:val="left" w:pos="284"/>
        </w:tabs>
        <w:ind w:firstLine="284"/>
        <w:jc w:val="both"/>
        <w:rPr>
          <w:sz w:val="24"/>
          <w:szCs w:val="24"/>
        </w:rPr>
      </w:pPr>
      <w:r w:rsidRPr="000B0005">
        <w:rPr>
          <w:sz w:val="24"/>
          <w:szCs w:val="24"/>
        </w:rPr>
        <w:t xml:space="preserve">Dle znaleckého posudku č. 3637-448/2012 ze dne 9. 12. 2012 </w:t>
      </w:r>
      <w:r>
        <w:rPr>
          <w:sz w:val="24"/>
          <w:szCs w:val="24"/>
        </w:rPr>
        <w:t>zpracovaného panem Fořtem činí hodnota pozemků:</w:t>
      </w:r>
    </w:p>
    <w:p w:rsidR="00A201F0" w:rsidRDefault="00A201F0" w:rsidP="00A201F0">
      <w:pPr>
        <w:tabs>
          <w:tab w:val="left" w:pos="284"/>
        </w:tabs>
        <w:jc w:val="both"/>
        <w:rPr>
          <w:sz w:val="24"/>
          <w:szCs w:val="24"/>
          <w:u w:val="single"/>
        </w:rPr>
      </w:pPr>
    </w:p>
    <w:p w:rsidR="00A201F0" w:rsidRDefault="00A201F0" w:rsidP="00A201F0">
      <w:pPr>
        <w:jc w:val="center"/>
        <w:rPr>
          <w:b/>
          <w:sz w:val="24"/>
          <w:szCs w:val="24"/>
          <w:u w:val="single"/>
        </w:rPr>
      </w:pPr>
      <w:r w:rsidRPr="007A6AF2">
        <w:rPr>
          <w:b/>
          <w:sz w:val="24"/>
          <w:szCs w:val="24"/>
          <w:u w:val="single"/>
        </w:rPr>
        <w:t>Administrativní ocenění předmětných pozemků:</w:t>
      </w:r>
    </w:p>
    <w:p w:rsidR="00A201F0" w:rsidRPr="007A6AF2" w:rsidRDefault="00A201F0" w:rsidP="00A201F0">
      <w:pPr>
        <w:jc w:val="center"/>
        <w:rPr>
          <w:b/>
          <w:sz w:val="24"/>
          <w:szCs w:val="24"/>
          <w:u w:val="single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1096"/>
        <w:gridCol w:w="1316"/>
        <w:gridCol w:w="1559"/>
        <w:gridCol w:w="1416"/>
        <w:gridCol w:w="1418"/>
      </w:tblGrid>
      <w:tr w:rsidR="00A201F0" w:rsidRPr="00353316" w:rsidTr="00FE5C42">
        <w:trPr>
          <w:trHeight w:val="567"/>
        </w:trPr>
        <w:tc>
          <w:tcPr>
            <w:tcW w:w="4079" w:type="dxa"/>
            <w:gridSpan w:val="3"/>
            <w:shd w:val="clear" w:color="auto" w:fill="auto"/>
          </w:tcPr>
          <w:p w:rsidR="00A201F0" w:rsidRPr="00AB5144" w:rsidRDefault="00A201F0" w:rsidP="00FE5C42">
            <w:pPr>
              <w:jc w:val="center"/>
              <w:rPr>
                <w:b/>
                <w:sz w:val="24"/>
                <w:szCs w:val="24"/>
              </w:rPr>
            </w:pPr>
            <w:r w:rsidRPr="00AB5144">
              <w:rPr>
                <w:b/>
                <w:sz w:val="24"/>
                <w:szCs w:val="24"/>
              </w:rPr>
              <w:t>Pozemek ve vlastnictví pana Dobrého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A201F0" w:rsidRPr="00AB5144" w:rsidRDefault="00A201F0" w:rsidP="00FE5C42">
            <w:pPr>
              <w:rPr>
                <w:b/>
                <w:sz w:val="24"/>
                <w:szCs w:val="24"/>
              </w:rPr>
            </w:pPr>
            <w:r w:rsidRPr="00AB5144">
              <w:rPr>
                <w:b/>
                <w:sz w:val="24"/>
                <w:szCs w:val="24"/>
              </w:rPr>
              <w:t>Pozemek ve vlastnictví města</w:t>
            </w:r>
          </w:p>
        </w:tc>
      </w:tr>
      <w:tr w:rsidR="00A201F0" w:rsidRPr="00353316" w:rsidTr="00FE5C42">
        <w:trPr>
          <w:trHeight w:val="567"/>
        </w:trPr>
        <w:tc>
          <w:tcPr>
            <w:tcW w:w="1667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b/>
                <w:szCs w:val="22"/>
              </w:rPr>
            </w:pPr>
            <w:proofErr w:type="spellStart"/>
            <w:proofErr w:type="gramStart"/>
            <w:r w:rsidRPr="00B73FCA">
              <w:rPr>
                <w:b/>
                <w:szCs w:val="22"/>
              </w:rPr>
              <w:t>parc</w:t>
            </w:r>
            <w:proofErr w:type="spellEnd"/>
            <w:r w:rsidRPr="00B73FCA">
              <w:rPr>
                <w:b/>
                <w:szCs w:val="22"/>
              </w:rPr>
              <w:t>. č</w:t>
            </w:r>
            <w:proofErr w:type="gramEnd"/>
          </w:p>
        </w:tc>
        <w:tc>
          <w:tcPr>
            <w:tcW w:w="1096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b/>
                <w:szCs w:val="22"/>
                <w:vertAlign w:val="superscript"/>
              </w:rPr>
            </w:pPr>
            <w:r w:rsidRPr="00B73FCA">
              <w:rPr>
                <w:b/>
                <w:szCs w:val="22"/>
              </w:rPr>
              <w:t>cena m</w:t>
            </w:r>
            <w:r w:rsidRPr="00B73FCA">
              <w:rPr>
                <w:b/>
                <w:szCs w:val="22"/>
                <w:vertAlign w:val="superscript"/>
              </w:rPr>
              <w:t>2</w:t>
            </w:r>
          </w:p>
        </w:tc>
        <w:tc>
          <w:tcPr>
            <w:tcW w:w="1316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b/>
                <w:szCs w:val="22"/>
              </w:rPr>
            </w:pPr>
            <w:r w:rsidRPr="00B73FCA">
              <w:rPr>
                <w:b/>
                <w:szCs w:val="22"/>
              </w:rPr>
              <w:t>celkem Kč</w:t>
            </w:r>
          </w:p>
        </w:tc>
        <w:tc>
          <w:tcPr>
            <w:tcW w:w="1559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b/>
                <w:szCs w:val="22"/>
              </w:rPr>
            </w:pPr>
            <w:proofErr w:type="spellStart"/>
            <w:r w:rsidRPr="00B73FCA">
              <w:rPr>
                <w:b/>
                <w:szCs w:val="22"/>
              </w:rPr>
              <w:t>parc</w:t>
            </w:r>
            <w:proofErr w:type="spellEnd"/>
            <w:r w:rsidRPr="00B73FCA">
              <w:rPr>
                <w:b/>
                <w:szCs w:val="22"/>
              </w:rPr>
              <w:t xml:space="preserve">. </w:t>
            </w:r>
            <w:proofErr w:type="gramStart"/>
            <w:r w:rsidRPr="00B73FCA">
              <w:rPr>
                <w:b/>
                <w:szCs w:val="22"/>
              </w:rPr>
              <w:t>č.</w:t>
            </w:r>
            <w:proofErr w:type="gramEnd"/>
          </w:p>
        </w:tc>
        <w:tc>
          <w:tcPr>
            <w:tcW w:w="1416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b/>
                <w:szCs w:val="22"/>
              </w:rPr>
            </w:pPr>
            <w:r w:rsidRPr="00B73FCA">
              <w:rPr>
                <w:b/>
                <w:szCs w:val="22"/>
              </w:rPr>
              <w:t>cena za m</w:t>
            </w:r>
            <w:r w:rsidRPr="00B73FCA">
              <w:rPr>
                <w:b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b/>
                <w:szCs w:val="22"/>
              </w:rPr>
            </w:pPr>
            <w:r w:rsidRPr="00B73FCA">
              <w:rPr>
                <w:b/>
                <w:szCs w:val="22"/>
              </w:rPr>
              <w:t>celkem Kč</w:t>
            </w:r>
          </w:p>
        </w:tc>
      </w:tr>
      <w:tr w:rsidR="00A201F0" w:rsidRPr="00353316" w:rsidTr="00FE5C42">
        <w:trPr>
          <w:trHeight w:val="567"/>
        </w:trPr>
        <w:tc>
          <w:tcPr>
            <w:tcW w:w="1667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szCs w:val="22"/>
              </w:rPr>
            </w:pPr>
            <w:r w:rsidRPr="00B73FCA">
              <w:rPr>
                <w:szCs w:val="22"/>
              </w:rPr>
              <w:t>2160</w:t>
            </w:r>
          </w:p>
        </w:tc>
        <w:tc>
          <w:tcPr>
            <w:tcW w:w="1096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szCs w:val="22"/>
              </w:rPr>
            </w:pPr>
            <w:r w:rsidRPr="00B73FCA">
              <w:rPr>
                <w:szCs w:val="22"/>
              </w:rPr>
              <w:t>86,-</w:t>
            </w:r>
          </w:p>
        </w:tc>
        <w:tc>
          <w:tcPr>
            <w:tcW w:w="1316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szCs w:val="22"/>
              </w:rPr>
            </w:pPr>
            <w:r w:rsidRPr="00B73FCA">
              <w:rPr>
                <w:szCs w:val="22"/>
              </w:rPr>
              <w:t>393 331,-</w:t>
            </w:r>
          </w:p>
        </w:tc>
        <w:tc>
          <w:tcPr>
            <w:tcW w:w="1559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szCs w:val="22"/>
              </w:rPr>
            </w:pPr>
            <w:r w:rsidRPr="00B73FCA">
              <w:rPr>
                <w:szCs w:val="22"/>
              </w:rPr>
              <w:t>3574</w:t>
            </w:r>
          </w:p>
        </w:tc>
        <w:tc>
          <w:tcPr>
            <w:tcW w:w="1416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szCs w:val="22"/>
              </w:rPr>
            </w:pPr>
            <w:r w:rsidRPr="00B73FCA">
              <w:rPr>
                <w:szCs w:val="22"/>
              </w:rPr>
              <w:t>1 585,-</w:t>
            </w:r>
          </w:p>
        </w:tc>
        <w:tc>
          <w:tcPr>
            <w:tcW w:w="1418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szCs w:val="22"/>
              </w:rPr>
            </w:pPr>
            <w:r w:rsidRPr="00B73FCA">
              <w:rPr>
                <w:szCs w:val="22"/>
              </w:rPr>
              <w:t>2 570 024,-</w:t>
            </w:r>
          </w:p>
        </w:tc>
      </w:tr>
      <w:tr w:rsidR="00A201F0" w:rsidRPr="00353316" w:rsidTr="00FE5C42">
        <w:trPr>
          <w:trHeight w:val="567"/>
        </w:trPr>
        <w:tc>
          <w:tcPr>
            <w:tcW w:w="2763" w:type="dxa"/>
            <w:gridSpan w:val="2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b/>
                <w:szCs w:val="22"/>
              </w:rPr>
            </w:pPr>
            <w:r w:rsidRPr="00B73FCA">
              <w:rPr>
                <w:b/>
                <w:szCs w:val="22"/>
              </w:rPr>
              <w:t>Celkem</w:t>
            </w:r>
          </w:p>
        </w:tc>
        <w:tc>
          <w:tcPr>
            <w:tcW w:w="1316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b/>
                <w:szCs w:val="22"/>
              </w:rPr>
            </w:pPr>
            <w:r w:rsidRPr="00B73FCA">
              <w:rPr>
                <w:b/>
                <w:szCs w:val="22"/>
              </w:rPr>
              <w:t>393 331,-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b/>
                <w:szCs w:val="22"/>
              </w:rPr>
            </w:pPr>
            <w:r w:rsidRPr="00B73FCA">
              <w:rPr>
                <w:b/>
                <w:szCs w:val="22"/>
              </w:rPr>
              <w:t>Celkem</w:t>
            </w:r>
          </w:p>
        </w:tc>
        <w:tc>
          <w:tcPr>
            <w:tcW w:w="1418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b/>
                <w:szCs w:val="22"/>
              </w:rPr>
            </w:pPr>
            <w:r w:rsidRPr="00B73FCA">
              <w:rPr>
                <w:b/>
                <w:szCs w:val="22"/>
              </w:rPr>
              <w:t>2 570 024,-</w:t>
            </w:r>
          </w:p>
        </w:tc>
      </w:tr>
    </w:tbl>
    <w:p w:rsidR="00A201F0" w:rsidRDefault="00A201F0" w:rsidP="00A201F0">
      <w:pPr>
        <w:rPr>
          <w:sz w:val="24"/>
          <w:szCs w:val="24"/>
        </w:rPr>
      </w:pPr>
    </w:p>
    <w:p w:rsidR="00A201F0" w:rsidRDefault="00A201F0" w:rsidP="00A201F0">
      <w:pPr>
        <w:ind w:firstLine="284"/>
        <w:rPr>
          <w:b/>
          <w:sz w:val="24"/>
          <w:szCs w:val="24"/>
          <w:u w:val="single"/>
        </w:rPr>
      </w:pPr>
      <w:r w:rsidRPr="00B404E7">
        <w:rPr>
          <w:sz w:val="24"/>
          <w:szCs w:val="24"/>
        </w:rPr>
        <w:t xml:space="preserve">Dle předloženého znaleckého posudku bylo konstatováno, že </w:t>
      </w:r>
      <w:r w:rsidRPr="00B404E7">
        <w:rPr>
          <w:b/>
          <w:sz w:val="24"/>
          <w:szCs w:val="24"/>
          <w:u w:val="single"/>
        </w:rPr>
        <w:t>obvykl</w:t>
      </w:r>
      <w:r>
        <w:rPr>
          <w:b/>
          <w:sz w:val="24"/>
          <w:szCs w:val="24"/>
          <w:u w:val="single"/>
        </w:rPr>
        <w:t>ou</w:t>
      </w:r>
      <w:r w:rsidRPr="00B404E7">
        <w:rPr>
          <w:b/>
          <w:sz w:val="24"/>
          <w:szCs w:val="24"/>
          <w:u w:val="single"/>
        </w:rPr>
        <w:t xml:space="preserve"> cen</w:t>
      </w:r>
      <w:r>
        <w:rPr>
          <w:b/>
          <w:sz w:val="24"/>
          <w:szCs w:val="24"/>
          <w:u w:val="single"/>
        </w:rPr>
        <w:t>u</w:t>
      </w:r>
      <w:r w:rsidRPr="00B404E7">
        <w:rPr>
          <w:b/>
          <w:sz w:val="24"/>
          <w:szCs w:val="24"/>
          <w:u w:val="single"/>
        </w:rPr>
        <w:t xml:space="preserve"> nelze u předmětných nemovitostí stanovit.</w:t>
      </w:r>
    </w:p>
    <w:p w:rsidR="00A201F0" w:rsidRPr="00B404E7" w:rsidRDefault="00A201F0" w:rsidP="00A201F0">
      <w:pPr>
        <w:ind w:firstLine="28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Rozdíl činí 2 176 693,- Kč.</w:t>
      </w:r>
    </w:p>
    <w:p w:rsidR="00A201F0" w:rsidRDefault="00A201F0" w:rsidP="00A201F0">
      <w:pPr>
        <w:tabs>
          <w:tab w:val="left" w:pos="284"/>
        </w:tabs>
        <w:ind w:firstLine="284"/>
        <w:jc w:val="both"/>
        <w:rPr>
          <w:sz w:val="24"/>
          <w:szCs w:val="24"/>
        </w:rPr>
      </w:pPr>
    </w:p>
    <w:p w:rsidR="00A201F0" w:rsidRDefault="00A201F0" w:rsidP="00A201F0">
      <w:pPr>
        <w:tabs>
          <w:tab w:val="left" w:pos="284"/>
        </w:tabs>
        <w:ind w:firstLine="284"/>
        <w:jc w:val="both"/>
        <w:rPr>
          <w:sz w:val="24"/>
          <w:szCs w:val="24"/>
        </w:rPr>
      </w:pPr>
      <w:r w:rsidRPr="000B0005">
        <w:rPr>
          <w:sz w:val="24"/>
          <w:szCs w:val="24"/>
        </w:rPr>
        <w:t xml:space="preserve">Dle tohoto posouzení se uvádí, že tržní cenu výše uvedených pozemků nelze stanovit, protože není trh s pozemky pod stavbami jiných vlastníků a s pozemky rybníků, či hrází rybníků. </w:t>
      </w:r>
      <w:r>
        <w:rPr>
          <w:sz w:val="24"/>
          <w:szCs w:val="24"/>
        </w:rPr>
        <w:t xml:space="preserve">Srovnání s cenou volných pozemků určených ke komerční výstavbě u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3574 by bylo chybné, nejedná se o volný pozemek, ale o pozemek již zastavěný stavbou jiného vlastníka. Zde je možné stanovit pouze cenu přiměřenou (cenu spravedlivou). Také u 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2160 je možné stanovit pouze cenu přiměřenou.</w:t>
      </w:r>
    </w:p>
    <w:p w:rsidR="00A201F0" w:rsidRDefault="00A201F0" w:rsidP="00A201F0">
      <w:pPr>
        <w:tabs>
          <w:tab w:val="left" w:pos="284"/>
        </w:tabs>
        <w:jc w:val="both"/>
        <w:rPr>
          <w:sz w:val="24"/>
          <w:szCs w:val="24"/>
        </w:rPr>
      </w:pPr>
    </w:p>
    <w:p w:rsidR="00A201F0" w:rsidRDefault="00A201F0" w:rsidP="00A201F0">
      <w:pPr>
        <w:tabs>
          <w:tab w:val="left" w:pos="28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nesouhlasu pana Dobrého s výsledkem ocenění zadaného městem Plzeň a z důvodu rozdílu cen mezi oceněním města a oceněním zadané fyzickou osobou, </w:t>
      </w:r>
      <w:proofErr w:type="gramStart"/>
      <w:r>
        <w:rPr>
          <w:sz w:val="24"/>
          <w:szCs w:val="24"/>
        </w:rPr>
        <w:t>zadal MAJ</w:t>
      </w:r>
      <w:proofErr w:type="gramEnd"/>
      <w:r>
        <w:rPr>
          <w:sz w:val="24"/>
          <w:szCs w:val="24"/>
        </w:rPr>
        <w:t xml:space="preserve"> zpracování znaleckého posudku nezávislému znalci.</w:t>
      </w:r>
    </w:p>
    <w:p w:rsidR="00A201F0" w:rsidRDefault="00A201F0" w:rsidP="00A201F0">
      <w:pPr>
        <w:tabs>
          <w:tab w:val="left" w:pos="28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Dle tohoto znaleckého posudku č. 1305/2014 zpracovaného paní Havířovou jsou ceny následující:</w:t>
      </w:r>
    </w:p>
    <w:p w:rsidR="00A201F0" w:rsidRDefault="00A201F0" w:rsidP="00A201F0">
      <w:pPr>
        <w:tabs>
          <w:tab w:val="left" w:pos="284"/>
        </w:tabs>
        <w:jc w:val="both"/>
        <w:rPr>
          <w:sz w:val="24"/>
          <w:szCs w:val="24"/>
        </w:rPr>
      </w:pPr>
    </w:p>
    <w:p w:rsidR="00A201F0" w:rsidRDefault="00A201F0" w:rsidP="00A201F0">
      <w:pPr>
        <w:jc w:val="center"/>
        <w:rPr>
          <w:b/>
          <w:sz w:val="24"/>
          <w:szCs w:val="24"/>
          <w:u w:val="single"/>
        </w:rPr>
      </w:pPr>
      <w:r w:rsidRPr="007A6AF2">
        <w:rPr>
          <w:b/>
          <w:sz w:val="24"/>
          <w:szCs w:val="24"/>
          <w:u w:val="single"/>
        </w:rPr>
        <w:t>Administrativní ocenění předmětných pozemků:</w:t>
      </w:r>
    </w:p>
    <w:p w:rsidR="00A201F0" w:rsidRPr="007A6AF2" w:rsidRDefault="00A201F0" w:rsidP="00A201F0">
      <w:pPr>
        <w:jc w:val="center"/>
        <w:rPr>
          <w:b/>
          <w:sz w:val="24"/>
          <w:szCs w:val="24"/>
          <w:u w:val="single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1096"/>
        <w:gridCol w:w="1316"/>
        <w:gridCol w:w="1559"/>
        <w:gridCol w:w="1416"/>
        <w:gridCol w:w="1418"/>
      </w:tblGrid>
      <w:tr w:rsidR="00A201F0" w:rsidRPr="00353316" w:rsidTr="00FE5C42">
        <w:trPr>
          <w:trHeight w:val="567"/>
        </w:trPr>
        <w:tc>
          <w:tcPr>
            <w:tcW w:w="4079" w:type="dxa"/>
            <w:gridSpan w:val="3"/>
            <w:shd w:val="clear" w:color="auto" w:fill="auto"/>
          </w:tcPr>
          <w:p w:rsidR="00A201F0" w:rsidRPr="00AB5144" w:rsidRDefault="00A201F0" w:rsidP="00FE5C42">
            <w:pPr>
              <w:jc w:val="center"/>
              <w:rPr>
                <w:b/>
                <w:sz w:val="24"/>
                <w:szCs w:val="24"/>
              </w:rPr>
            </w:pPr>
            <w:r w:rsidRPr="00AB5144">
              <w:rPr>
                <w:b/>
                <w:sz w:val="24"/>
                <w:szCs w:val="24"/>
              </w:rPr>
              <w:t>Pozemek ve vlastnictví pana Dobrého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A201F0" w:rsidRPr="00AB5144" w:rsidRDefault="00A201F0" w:rsidP="00FE5C42">
            <w:pPr>
              <w:rPr>
                <w:b/>
                <w:sz w:val="24"/>
                <w:szCs w:val="24"/>
              </w:rPr>
            </w:pPr>
            <w:r w:rsidRPr="00AB5144">
              <w:rPr>
                <w:b/>
                <w:sz w:val="24"/>
                <w:szCs w:val="24"/>
              </w:rPr>
              <w:t>Pozemek ve vlastnictví města</w:t>
            </w:r>
          </w:p>
        </w:tc>
      </w:tr>
      <w:tr w:rsidR="00A201F0" w:rsidRPr="00B73FCA" w:rsidTr="00FE5C42">
        <w:trPr>
          <w:trHeight w:val="454"/>
        </w:trPr>
        <w:tc>
          <w:tcPr>
            <w:tcW w:w="1667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b/>
                <w:szCs w:val="22"/>
              </w:rPr>
            </w:pPr>
            <w:proofErr w:type="spellStart"/>
            <w:proofErr w:type="gramStart"/>
            <w:r w:rsidRPr="00B73FCA">
              <w:rPr>
                <w:b/>
                <w:szCs w:val="22"/>
              </w:rPr>
              <w:t>parc</w:t>
            </w:r>
            <w:proofErr w:type="spellEnd"/>
            <w:r w:rsidRPr="00B73FCA">
              <w:rPr>
                <w:b/>
                <w:szCs w:val="22"/>
              </w:rPr>
              <w:t>. č</w:t>
            </w:r>
            <w:proofErr w:type="gramEnd"/>
          </w:p>
        </w:tc>
        <w:tc>
          <w:tcPr>
            <w:tcW w:w="1096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b/>
                <w:szCs w:val="22"/>
                <w:vertAlign w:val="superscript"/>
              </w:rPr>
            </w:pPr>
            <w:r w:rsidRPr="00B73FCA">
              <w:rPr>
                <w:b/>
                <w:szCs w:val="22"/>
              </w:rPr>
              <w:t>cena m</w:t>
            </w:r>
            <w:r w:rsidRPr="00B73FCA">
              <w:rPr>
                <w:b/>
                <w:szCs w:val="22"/>
                <w:vertAlign w:val="superscript"/>
              </w:rPr>
              <w:t>2</w:t>
            </w:r>
          </w:p>
        </w:tc>
        <w:tc>
          <w:tcPr>
            <w:tcW w:w="1316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b/>
                <w:szCs w:val="22"/>
              </w:rPr>
            </w:pPr>
            <w:r w:rsidRPr="00B73FCA">
              <w:rPr>
                <w:b/>
                <w:szCs w:val="22"/>
              </w:rPr>
              <w:t>celkem Kč</w:t>
            </w:r>
          </w:p>
        </w:tc>
        <w:tc>
          <w:tcPr>
            <w:tcW w:w="1559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b/>
                <w:szCs w:val="22"/>
              </w:rPr>
            </w:pPr>
            <w:proofErr w:type="spellStart"/>
            <w:r w:rsidRPr="00B73FCA">
              <w:rPr>
                <w:b/>
                <w:szCs w:val="22"/>
              </w:rPr>
              <w:t>parc</w:t>
            </w:r>
            <w:proofErr w:type="spellEnd"/>
            <w:r w:rsidRPr="00B73FCA">
              <w:rPr>
                <w:b/>
                <w:szCs w:val="22"/>
              </w:rPr>
              <w:t xml:space="preserve">. </w:t>
            </w:r>
            <w:proofErr w:type="gramStart"/>
            <w:r w:rsidRPr="00B73FCA">
              <w:rPr>
                <w:b/>
                <w:szCs w:val="22"/>
              </w:rPr>
              <w:t>č.</w:t>
            </w:r>
            <w:proofErr w:type="gramEnd"/>
          </w:p>
        </w:tc>
        <w:tc>
          <w:tcPr>
            <w:tcW w:w="1416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b/>
                <w:szCs w:val="22"/>
              </w:rPr>
            </w:pPr>
            <w:r w:rsidRPr="00B73FCA">
              <w:rPr>
                <w:b/>
                <w:szCs w:val="22"/>
              </w:rPr>
              <w:t>cena za m</w:t>
            </w:r>
            <w:r w:rsidRPr="00B73FCA">
              <w:rPr>
                <w:b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b/>
                <w:szCs w:val="22"/>
              </w:rPr>
            </w:pPr>
            <w:r w:rsidRPr="00B73FCA">
              <w:rPr>
                <w:b/>
                <w:szCs w:val="22"/>
              </w:rPr>
              <w:t>celkem Kč</w:t>
            </w:r>
          </w:p>
        </w:tc>
      </w:tr>
      <w:tr w:rsidR="00A201F0" w:rsidRPr="00B73FCA" w:rsidTr="00FE5C42">
        <w:trPr>
          <w:trHeight w:val="454"/>
        </w:trPr>
        <w:tc>
          <w:tcPr>
            <w:tcW w:w="1667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szCs w:val="22"/>
              </w:rPr>
            </w:pPr>
            <w:r w:rsidRPr="00B73FCA">
              <w:rPr>
                <w:szCs w:val="22"/>
              </w:rPr>
              <w:t>2160</w:t>
            </w:r>
          </w:p>
        </w:tc>
        <w:tc>
          <w:tcPr>
            <w:tcW w:w="1096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szCs w:val="22"/>
              </w:rPr>
            </w:pPr>
            <w:r w:rsidRPr="00B73FCA">
              <w:rPr>
                <w:szCs w:val="22"/>
              </w:rPr>
              <w:t>5,-</w:t>
            </w:r>
          </w:p>
        </w:tc>
        <w:tc>
          <w:tcPr>
            <w:tcW w:w="1316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szCs w:val="22"/>
              </w:rPr>
            </w:pPr>
            <w:r w:rsidRPr="00B73FCA">
              <w:rPr>
                <w:szCs w:val="22"/>
              </w:rPr>
              <w:t>23 682,-</w:t>
            </w:r>
          </w:p>
        </w:tc>
        <w:tc>
          <w:tcPr>
            <w:tcW w:w="1559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szCs w:val="22"/>
              </w:rPr>
            </w:pPr>
            <w:r w:rsidRPr="00B73FCA">
              <w:rPr>
                <w:szCs w:val="22"/>
              </w:rPr>
              <w:t>3574</w:t>
            </w:r>
          </w:p>
        </w:tc>
        <w:tc>
          <w:tcPr>
            <w:tcW w:w="1416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szCs w:val="22"/>
              </w:rPr>
            </w:pPr>
            <w:r w:rsidRPr="00B73FCA">
              <w:rPr>
                <w:szCs w:val="22"/>
              </w:rPr>
              <w:t>1 592,-</w:t>
            </w:r>
          </w:p>
        </w:tc>
        <w:tc>
          <w:tcPr>
            <w:tcW w:w="1418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szCs w:val="22"/>
              </w:rPr>
            </w:pPr>
            <w:r w:rsidRPr="00B73FCA">
              <w:rPr>
                <w:szCs w:val="22"/>
              </w:rPr>
              <w:t>2 580 990,-</w:t>
            </w:r>
          </w:p>
        </w:tc>
      </w:tr>
      <w:tr w:rsidR="00A201F0" w:rsidRPr="00B73FCA" w:rsidTr="00FE5C42">
        <w:trPr>
          <w:trHeight w:val="454"/>
        </w:trPr>
        <w:tc>
          <w:tcPr>
            <w:tcW w:w="1667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szCs w:val="22"/>
              </w:rPr>
            </w:pPr>
            <w:proofErr w:type="spellStart"/>
            <w:r w:rsidRPr="00B73FCA">
              <w:rPr>
                <w:szCs w:val="22"/>
              </w:rPr>
              <w:t>trv</w:t>
            </w:r>
            <w:proofErr w:type="spellEnd"/>
            <w:r w:rsidRPr="00B73FCA">
              <w:rPr>
                <w:szCs w:val="22"/>
              </w:rPr>
              <w:t xml:space="preserve">. porosty na </w:t>
            </w:r>
            <w:proofErr w:type="spellStart"/>
            <w:proofErr w:type="gramStart"/>
            <w:r w:rsidRPr="00B73FCA">
              <w:rPr>
                <w:szCs w:val="22"/>
              </w:rPr>
              <w:t>p.č</w:t>
            </w:r>
            <w:proofErr w:type="spellEnd"/>
            <w:r w:rsidRPr="00B73FCA">
              <w:rPr>
                <w:szCs w:val="22"/>
              </w:rPr>
              <w:t>.</w:t>
            </w:r>
            <w:proofErr w:type="gramEnd"/>
            <w:r w:rsidRPr="00B73FCA">
              <w:rPr>
                <w:szCs w:val="22"/>
              </w:rPr>
              <w:t xml:space="preserve"> 2160</w:t>
            </w:r>
          </w:p>
        </w:tc>
        <w:tc>
          <w:tcPr>
            <w:tcW w:w="1096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szCs w:val="22"/>
              </w:rPr>
            </w:pPr>
            <w:r w:rsidRPr="00B73FCA">
              <w:rPr>
                <w:szCs w:val="22"/>
              </w:rPr>
              <w:t>7 514,-</w:t>
            </w:r>
          </w:p>
        </w:tc>
        <w:tc>
          <w:tcPr>
            <w:tcW w:w="1559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szCs w:val="22"/>
              </w:rPr>
            </w:pPr>
          </w:p>
        </w:tc>
      </w:tr>
      <w:tr w:rsidR="00A201F0" w:rsidRPr="00B73FCA" w:rsidTr="00FE5C42">
        <w:trPr>
          <w:trHeight w:val="454"/>
        </w:trPr>
        <w:tc>
          <w:tcPr>
            <w:tcW w:w="1667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szCs w:val="22"/>
              </w:rPr>
            </w:pPr>
            <w:r w:rsidRPr="00B73FCA">
              <w:rPr>
                <w:szCs w:val="22"/>
              </w:rPr>
              <w:t>průměrná cena</w:t>
            </w:r>
          </w:p>
          <w:p w:rsidR="00A201F0" w:rsidRPr="00B73FCA" w:rsidRDefault="00A201F0" w:rsidP="00FE5C42">
            <w:pPr>
              <w:ind w:firstLine="0"/>
              <w:rPr>
                <w:szCs w:val="22"/>
              </w:rPr>
            </w:pPr>
            <w:r w:rsidRPr="00B73FCA">
              <w:rPr>
                <w:szCs w:val="22"/>
              </w:rPr>
              <w:t>včetně porostů</w:t>
            </w:r>
          </w:p>
        </w:tc>
        <w:tc>
          <w:tcPr>
            <w:tcW w:w="1096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szCs w:val="22"/>
              </w:rPr>
            </w:pPr>
            <w:r w:rsidRPr="00B73FCA">
              <w:rPr>
                <w:szCs w:val="22"/>
              </w:rPr>
              <w:t>7,-</w:t>
            </w:r>
          </w:p>
        </w:tc>
        <w:tc>
          <w:tcPr>
            <w:tcW w:w="1316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szCs w:val="22"/>
              </w:rPr>
            </w:pPr>
          </w:p>
        </w:tc>
      </w:tr>
      <w:tr w:rsidR="00A201F0" w:rsidRPr="00B73FCA" w:rsidTr="00FE5C42">
        <w:trPr>
          <w:trHeight w:val="454"/>
        </w:trPr>
        <w:tc>
          <w:tcPr>
            <w:tcW w:w="2763" w:type="dxa"/>
            <w:gridSpan w:val="2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b/>
                <w:szCs w:val="22"/>
              </w:rPr>
            </w:pPr>
            <w:r w:rsidRPr="00B73FCA">
              <w:rPr>
                <w:b/>
                <w:szCs w:val="22"/>
              </w:rPr>
              <w:t>Celkem</w:t>
            </w:r>
          </w:p>
        </w:tc>
        <w:tc>
          <w:tcPr>
            <w:tcW w:w="1316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b/>
                <w:szCs w:val="22"/>
              </w:rPr>
            </w:pPr>
            <w:r w:rsidRPr="00B73FCA">
              <w:rPr>
                <w:b/>
                <w:szCs w:val="22"/>
              </w:rPr>
              <w:t>31 196,-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b/>
                <w:szCs w:val="22"/>
              </w:rPr>
            </w:pPr>
            <w:r w:rsidRPr="00B73FCA">
              <w:rPr>
                <w:b/>
                <w:szCs w:val="22"/>
              </w:rPr>
              <w:t>Celkem</w:t>
            </w:r>
          </w:p>
        </w:tc>
        <w:tc>
          <w:tcPr>
            <w:tcW w:w="1418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b/>
                <w:szCs w:val="22"/>
              </w:rPr>
            </w:pPr>
            <w:r w:rsidRPr="00B73FCA">
              <w:rPr>
                <w:b/>
                <w:szCs w:val="22"/>
              </w:rPr>
              <w:t>2 580 990,-</w:t>
            </w:r>
          </w:p>
        </w:tc>
      </w:tr>
    </w:tbl>
    <w:p w:rsidR="00A201F0" w:rsidRPr="00B73FCA" w:rsidRDefault="00A201F0" w:rsidP="00A201F0">
      <w:pPr>
        <w:ind w:firstLine="0"/>
        <w:jc w:val="center"/>
        <w:rPr>
          <w:b/>
          <w:szCs w:val="22"/>
          <w:u w:val="single"/>
        </w:rPr>
      </w:pPr>
    </w:p>
    <w:p w:rsidR="00A201F0" w:rsidRDefault="00A201F0" w:rsidP="00A201F0">
      <w:pPr>
        <w:jc w:val="center"/>
        <w:rPr>
          <w:b/>
          <w:sz w:val="24"/>
          <w:szCs w:val="24"/>
          <w:u w:val="single"/>
        </w:rPr>
      </w:pPr>
      <w:r w:rsidRPr="007A6AF2">
        <w:rPr>
          <w:b/>
          <w:sz w:val="24"/>
          <w:szCs w:val="24"/>
          <w:u w:val="single"/>
        </w:rPr>
        <w:t>Cena obvyklá v</w:t>
      </w:r>
      <w:r>
        <w:rPr>
          <w:b/>
          <w:sz w:val="24"/>
          <w:szCs w:val="24"/>
          <w:u w:val="single"/>
        </w:rPr>
        <w:t> </w:t>
      </w:r>
      <w:r w:rsidRPr="007A6AF2">
        <w:rPr>
          <w:b/>
          <w:sz w:val="24"/>
          <w:szCs w:val="24"/>
          <w:u w:val="single"/>
        </w:rPr>
        <w:t>místě a čase předmětných pozemků:</w:t>
      </w:r>
    </w:p>
    <w:p w:rsidR="00A201F0" w:rsidRPr="007A6AF2" w:rsidRDefault="00A201F0" w:rsidP="00A201F0">
      <w:pPr>
        <w:jc w:val="center"/>
        <w:rPr>
          <w:b/>
          <w:sz w:val="24"/>
          <w:szCs w:val="24"/>
          <w:u w:val="single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1096"/>
        <w:gridCol w:w="1316"/>
        <w:gridCol w:w="1559"/>
        <w:gridCol w:w="1416"/>
        <w:gridCol w:w="1418"/>
      </w:tblGrid>
      <w:tr w:rsidR="00A201F0" w:rsidRPr="00353316" w:rsidTr="00FE5C42">
        <w:trPr>
          <w:trHeight w:val="567"/>
        </w:trPr>
        <w:tc>
          <w:tcPr>
            <w:tcW w:w="4079" w:type="dxa"/>
            <w:gridSpan w:val="3"/>
            <w:shd w:val="clear" w:color="auto" w:fill="auto"/>
          </w:tcPr>
          <w:p w:rsidR="00A201F0" w:rsidRPr="00AB5144" w:rsidRDefault="00A201F0" w:rsidP="00FE5C42">
            <w:pPr>
              <w:jc w:val="center"/>
              <w:rPr>
                <w:b/>
                <w:sz w:val="24"/>
                <w:szCs w:val="24"/>
              </w:rPr>
            </w:pPr>
            <w:r w:rsidRPr="00AB5144">
              <w:rPr>
                <w:b/>
                <w:sz w:val="24"/>
                <w:szCs w:val="24"/>
              </w:rPr>
              <w:t>Pozemek ve vlastnictví pana Dobrého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A201F0" w:rsidRPr="00AB5144" w:rsidRDefault="00A201F0" w:rsidP="00FE5C42">
            <w:pPr>
              <w:rPr>
                <w:b/>
                <w:sz w:val="24"/>
                <w:szCs w:val="24"/>
              </w:rPr>
            </w:pPr>
            <w:r w:rsidRPr="00AB5144">
              <w:rPr>
                <w:b/>
                <w:sz w:val="24"/>
                <w:szCs w:val="24"/>
              </w:rPr>
              <w:t>Pozemek ve vlastnictví města</w:t>
            </w:r>
          </w:p>
        </w:tc>
      </w:tr>
      <w:tr w:rsidR="00A201F0" w:rsidRPr="00353316" w:rsidTr="00FE5C42">
        <w:trPr>
          <w:trHeight w:val="454"/>
        </w:trPr>
        <w:tc>
          <w:tcPr>
            <w:tcW w:w="1667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b/>
                <w:szCs w:val="22"/>
              </w:rPr>
            </w:pPr>
            <w:proofErr w:type="spellStart"/>
            <w:proofErr w:type="gramStart"/>
            <w:r w:rsidRPr="00B73FCA">
              <w:rPr>
                <w:b/>
                <w:szCs w:val="22"/>
              </w:rPr>
              <w:t>parc</w:t>
            </w:r>
            <w:proofErr w:type="spellEnd"/>
            <w:r w:rsidRPr="00B73FCA">
              <w:rPr>
                <w:b/>
                <w:szCs w:val="22"/>
              </w:rPr>
              <w:t>. č</w:t>
            </w:r>
            <w:proofErr w:type="gramEnd"/>
          </w:p>
        </w:tc>
        <w:tc>
          <w:tcPr>
            <w:tcW w:w="1096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b/>
                <w:szCs w:val="22"/>
                <w:vertAlign w:val="superscript"/>
              </w:rPr>
            </w:pPr>
            <w:r w:rsidRPr="00B73FCA">
              <w:rPr>
                <w:b/>
                <w:szCs w:val="22"/>
              </w:rPr>
              <w:t>cena m</w:t>
            </w:r>
            <w:r w:rsidRPr="00B73FCA">
              <w:rPr>
                <w:b/>
                <w:szCs w:val="22"/>
                <w:vertAlign w:val="superscript"/>
              </w:rPr>
              <w:t>2</w:t>
            </w:r>
          </w:p>
        </w:tc>
        <w:tc>
          <w:tcPr>
            <w:tcW w:w="1316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b/>
                <w:szCs w:val="22"/>
              </w:rPr>
            </w:pPr>
            <w:r w:rsidRPr="00B73FCA">
              <w:rPr>
                <w:b/>
                <w:szCs w:val="22"/>
              </w:rPr>
              <w:t>celkem Kč</w:t>
            </w:r>
          </w:p>
        </w:tc>
        <w:tc>
          <w:tcPr>
            <w:tcW w:w="1559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b/>
                <w:szCs w:val="22"/>
              </w:rPr>
            </w:pPr>
            <w:proofErr w:type="spellStart"/>
            <w:r w:rsidRPr="00B73FCA">
              <w:rPr>
                <w:b/>
                <w:szCs w:val="22"/>
              </w:rPr>
              <w:t>parc</w:t>
            </w:r>
            <w:proofErr w:type="spellEnd"/>
            <w:r w:rsidRPr="00B73FCA">
              <w:rPr>
                <w:b/>
                <w:szCs w:val="22"/>
              </w:rPr>
              <w:t xml:space="preserve">. </w:t>
            </w:r>
            <w:proofErr w:type="gramStart"/>
            <w:r w:rsidRPr="00B73FCA">
              <w:rPr>
                <w:b/>
                <w:szCs w:val="22"/>
              </w:rPr>
              <w:t>č.</w:t>
            </w:r>
            <w:proofErr w:type="gramEnd"/>
          </w:p>
        </w:tc>
        <w:tc>
          <w:tcPr>
            <w:tcW w:w="1416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b/>
                <w:szCs w:val="22"/>
              </w:rPr>
            </w:pPr>
            <w:r w:rsidRPr="00B73FCA">
              <w:rPr>
                <w:b/>
                <w:szCs w:val="22"/>
              </w:rPr>
              <w:t>cena za m</w:t>
            </w:r>
            <w:r w:rsidRPr="00B73FCA">
              <w:rPr>
                <w:b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b/>
                <w:szCs w:val="22"/>
              </w:rPr>
            </w:pPr>
            <w:r w:rsidRPr="00B73FCA">
              <w:rPr>
                <w:b/>
                <w:szCs w:val="22"/>
              </w:rPr>
              <w:t>celkem Kč</w:t>
            </w:r>
          </w:p>
        </w:tc>
      </w:tr>
      <w:tr w:rsidR="00A201F0" w:rsidRPr="00353316" w:rsidTr="00FE5C42">
        <w:trPr>
          <w:trHeight w:val="454"/>
        </w:trPr>
        <w:tc>
          <w:tcPr>
            <w:tcW w:w="1667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szCs w:val="22"/>
              </w:rPr>
            </w:pPr>
            <w:r w:rsidRPr="00B73FCA">
              <w:rPr>
                <w:szCs w:val="22"/>
              </w:rPr>
              <w:t>2160</w:t>
            </w:r>
          </w:p>
        </w:tc>
        <w:tc>
          <w:tcPr>
            <w:tcW w:w="1096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szCs w:val="22"/>
              </w:rPr>
            </w:pPr>
            <w:r w:rsidRPr="00B73FCA">
              <w:rPr>
                <w:szCs w:val="22"/>
              </w:rPr>
              <w:t>100,-</w:t>
            </w:r>
          </w:p>
        </w:tc>
        <w:tc>
          <w:tcPr>
            <w:tcW w:w="1316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szCs w:val="22"/>
              </w:rPr>
            </w:pPr>
            <w:r w:rsidRPr="00B73FCA">
              <w:rPr>
                <w:szCs w:val="22"/>
              </w:rPr>
              <w:t>456 300,-</w:t>
            </w:r>
          </w:p>
        </w:tc>
        <w:tc>
          <w:tcPr>
            <w:tcW w:w="1559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szCs w:val="22"/>
              </w:rPr>
            </w:pPr>
            <w:r w:rsidRPr="00B73FCA">
              <w:rPr>
                <w:szCs w:val="22"/>
              </w:rPr>
              <w:t>3574</w:t>
            </w:r>
          </w:p>
        </w:tc>
        <w:tc>
          <w:tcPr>
            <w:tcW w:w="1416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szCs w:val="22"/>
              </w:rPr>
            </w:pPr>
            <w:r w:rsidRPr="00B73FCA">
              <w:rPr>
                <w:szCs w:val="22"/>
              </w:rPr>
              <w:t>1 865,-</w:t>
            </w:r>
          </w:p>
        </w:tc>
        <w:tc>
          <w:tcPr>
            <w:tcW w:w="1418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szCs w:val="22"/>
              </w:rPr>
            </w:pPr>
            <w:r w:rsidRPr="00B73FCA">
              <w:rPr>
                <w:szCs w:val="22"/>
              </w:rPr>
              <w:t>3 023 165,-</w:t>
            </w:r>
          </w:p>
        </w:tc>
      </w:tr>
      <w:tr w:rsidR="00A201F0" w:rsidRPr="00353316" w:rsidTr="00FE5C42">
        <w:trPr>
          <w:trHeight w:val="454"/>
        </w:trPr>
        <w:tc>
          <w:tcPr>
            <w:tcW w:w="2763" w:type="dxa"/>
            <w:gridSpan w:val="2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b/>
                <w:szCs w:val="22"/>
              </w:rPr>
            </w:pPr>
            <w:r w:rsidRPr="00B73FCA">
              <w:rPr>
                <w:b/>
                <w:szCs w:val="22"/>
              </w:rPr>
              <w:t>Celkem</w:t>
            </w:r>
          </w:p>
        </w:tc>
        <w:tc>
          <w:tcPr>
            <w:tcW w:w="1316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b/>
                <w:szCs w:val="22"/>
              </w:rPr>
            </w:pPr>
            <w:r w:rsidRPr="00B73FCA">
              <w:rPr>
                <w:b/>
                <w:szCs w:val="22"/>
              </w:rPr>
              <w:t>456 300,-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b/>
                <w:szCs w:val="22"/>
              </w:rPr>
            </w:pPr>
            <w:r w:rsidRPr="00B73FCA">
              <w:rPr>
                <w:b/>
                <w:szCs w:val="22"/>
              </w:rPr>
              <w:t>Celkem</w:t>
            </w:r>
          </w:p>
        </w:tc>
        <w:tc>
          <w:tcPr>
            <w:tcW w:w="1418" w:type="dxa"/>
            <w:shd w:val="clear" w:color="auto" w:fill="auto"/>
          </w:tcPr>
          <w:p w:rsidR="00A201F0" w:rsidRPr="00B73FCA" w:rsidRDefault="00A201F0" w:rsidP="00FE5C42">
            <w:pPr>
              <w:ind w:firstLine="0"/>
              <w:rPr>
                <w:b/>
                <w:szCs w:val="22"/>
              </w:rPr>
            </w:pPr>
            <w:r w:rsidRPr="00B73FCA">
              <w:rPr>
                <w:b/>
                <w:szCs w:val="22"/>
              </w:rPr>
              <w:t>3 023 165,-</w:t>
            </w:r>
          </w:p>
        </w:tc>
      </w:tr>
    </w:tbl>
    <w:p w:rsidR="00A201F0" w:rsidRPr="007A6AF2" w:rsidRDefault="00A201F0" w:rsidP="00A201F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Rozdíl výše stanovených cen činí 2 566 865,- Kč.  </w:t>
      </w:r>
    </w:p>
    <w:p w:rsidR="00A201F0" w:rsidRDefault="00A201F0" w:rsidP="00A201F0">
      <w:pPr>
        <w:pStyle w:val="vlevo"/>
      </w:pPr>
    </w:p>
    <w:p w:rsidR="00A201F0" w:rsidRDefault="00A201F0" w:rsidP="00A201F0">
      <w:pPr>
        <w:tabs>
          <w:tab w:val="left" w:pos="284"/>
        </w:tabs>
        <w:jc w:val="both"/>
        <w:rPr>
          <w:sz w:val="24"/>
          <w:szCs w:val="24"/>
        </w:rPr>
      </w:pPr>
    </w:p>
    <w:p w:rsidR="00A201F0" w:rsidRDefault="00A201F0" w:rsidP="00A201F0">
      <w:pPr>
        <w:tabs>
          <w:tab w:val="left" w:pos="28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26. 3. 2014 se uskutečnilo jednání v dané záležitosti, a to především z důvodu seznámení pana Dobrého s oceněním předmětných nemovitostí, s nutností zřízení věcného břemene – kolektor, projednání smluvního závazku, který bude obsažen ve smlouvě směnné a projednání úhrady daně z nabytí nemovitých věcí dle pravidel stanovených městem. </w:t>
      </w:r>
    </w:p>
    <w:p w:rsidR="00A201F0" w:rsidRDefault="00A201F0" w:rsidP="00A201F0">
      <w:pPr>
        <w:tabs>
          <w:tab w:val="left" w:pos="28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Pan Dobrý souhlasí s předložením materiálu do orgánů města Plzně dle ocenění zpracovaných městem v roce 2014 a rovněž, že směna bude realizována v cenách obvyklých a doplatkem z jeho strany. Rovněž souhlasí s úhradou daně z nabytí nemovitých věcí dle pravidel města Plzně a se zřízením věcného břemene a smluvního závazku.</w:t>
      </w:r>
    </w:p>
    <w:p w:rsidR="00A201F0" w:rsidRDefault="00A201F0" w:rsidP="00A201F0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01F0" w:rsidRDefault="00A201F0" w:rsidP="00A201F0">
      <w:pPr>
        <w:pStyle w:val="vlevo"/>
      </w:pPr>
      <w:r>
        <w:tab/>
        <w:t xml:space="preserve">Pan Dobrý je vlastníkem budovy </w:t>
      </w:r>
      <w:proofErr w:type="gramStart"/>
      <w:r>
        <w:t>č.p.</w:t>
      </w:r>
      <w:proofErr w:type="gramEnd"/>
      <w:r>
        <w:t xml:space="preserve"> 1442, občanská vybavenost na pozemku </w:t>
      </w:r>
      <w:proofErr w:type="spellStart"/>
      <w:r>
        <w:t>parc</w:t>
      </w:r>
      <w:proofErr w:type="spellEnd"/>
      <w:r>
        <w:t>. č. 3574 o celkové výměře 1621 m</w:t>
      </w:r>
      <w:r>
        <w:rPr>
          <w:vertAlign w:val="superscript"/>
        </w:rPr>
        <w:t>2</w:t>
      </w:r>
      <w:r>
        <w:t xml:space="preserve">, </w:t>
      </w:r>
      <w:proofErr w:type="spellStart"/>
      <w:r>
        <w:t>zaps</w:t>
      </w:r>
      <w:proofErr w:type="spellEnd"/>
      <w:r>
        <w:t xml:space="preserve">. na LV č. 10458 pro k. </w:t>
      </w:r>
      <w:proofErr w:type="spellStart"/>
      <w:r>
        <w:t>ú.</w:t>
      </w:r>
      <w:proofErr w:type="spellEnd"/>
      <w:r>
        <w:t xml:space="preserve"> Bolevec, na základě kupní smlouvy ze dne 15. 3. 2010, právní účinky vkladu práva ke dni 15. 3. 2010 (V-1830/2010). Jedná se o objekt bývalého obchodního centra Orlík, Kaznějovská 49. 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3574 o celkové výměře 1621 </w:t>
      </w:r>
      <w:r w:rsidRPr="009248FB">
        <w:t>m</w:t>
      </w:r>
      <w:r>
        <w:rPr>
          <w:vertAlign w:val="superscript"/>
        </w:rPr>
        <w:t>2</w:t>
      </w:r>
      <w:r>
        <w:t xml:space="preserve">, zastavěná plocha a nádvoří, </w:t>
      </w:r>
      <w:proofErr w:type="spellStart"/>
      <w:r>
        <w:t>zaps</w:t>
      </w:r>
      <w:proofErr w:type="spellEnd"/>
      <w:r>
        <w:t xml:space="preserve">. na LV č. 1 pro k. </w:t>
      </w:r>
      <w:proofErr w:type="spellStart"/>
      <w:r>
        <w:t>ú.</w:t>
      </w:r>
      <w:proofErr w:type="spellEnd"/>
      <w:r>
        <w:t xml:space="preserve"> Bolevec je ve vlastnictví města Plzně. Pan Dobrý má k 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3574 k. </w:t>
      </w:r>
      <w:proofErr w:type="spellStart"/>
      <w:r>
        <w:t>ú.</w:t>
      </w:r>
      <w:proofErr w:type="spellEnd"/>
      <w:r>
        <w:t xml:space="preserve"> Bolevec uzavřenou nájemní smlouvu č. 2013/000035/NS ze dne 1. 3. 2013.</w:t>
      </w:r>
    </w:p>
    <w:p w:rsidR="00A201F0" w:rsidRDefault="00A201F0" w:rsidP="00A201F0">
      <w:pPr>
        <w:pStyle w:val="vlevo"/>
      </w:pPr>
    </w:p>
    <w:p w:rsidR="00A201F0" w:rsidRPr="00B61942" w:rsidRDefault="00A201F0" w:rsidP="00A201F0">
      <w:pPr>
        <w:tabs>
          <w:tab w:val="left" w:pos="28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Technický úřad MMP svým souhrnným stanoviskem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MMP/99619/13 souhlasí se směnnou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2160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Bolevec za 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3574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Bolevec. Na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3574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Bolevec v majetku města Plzně a pod objektem obchodního centra Orlík se nachází kolektor včetně kolektorové přípojky v majetku města Plzně, správě </w:t>
      </w:r>
      <w:r>
        <w:rPr>
          <w:sz w:val="24"/>
          <w:szCs w:val="24"/>
        </w:rPr>
        <w:lastRenderedPageBreak/>
        <w:t>OSI MMP, dle stávajícího stavu veden pod objektem stavby na tomto pozemku. V kolektoru je uložen vodovodní řad DN 100 v majetku města Plzně a ve správě OSI MMP a inženýrské sítě různých vlastníků. Technický úřad MMP v případě realizace směny, požaduje uzavřít smlouvu o zřízení věcného břemene strpění umístění kolektoru včetně kolektorové přípojky a vodovodního řadu a do směnné smlouvy zapracovat ustanovení, aby v případě odstranění stavby nebo její části na tomto pozemku nebyla ta část pozemku, v níž je vedena stávající trasa kolektoru včetně vodovodu, opětovně zastavěna (cca 120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). Nový vlastník pozemku by v takovém případě byl povinen ponechat tuto část pozemku veřejně přístupnou za účelem provádění oprav a údržby kolektoru a byl by povinen respektovat zemní a výkopové práce s tímto spojené. Ve směnné smlouvě by pro nového vlastníka byla rovněž zapracována povinnost takto smluvně zavázat i případného nového nabyvatele a to pro případ převodu nemovitých věcí. Tyto skutečnosti požaduje Technický úřad zapracovat do smluvního vztahu. Po získání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2160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Bolevec zajistit jeho následné svěření do správy SVSMP.</w:t>
      </w:r>
    </w:p>
    <w:p w:rsidR="00A201F0" w:rsidRPr="004C6B76" w:rsidRDefault="00A201F0" w:rsidP="00A201F0">
      <w:pPr>
        <w:tabs>
          <w:tab w:val="left" w:pos="28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Usnesením Rady MO Plzeň 1 č. 18 ze dne 14. 1. 2014 byl vysloven souhlas s majetkovou transakcí dle stanoviska Technického úřadu MMP.</w:t>
      </w:r>
    </w:p>
    <w:p w:rsidR="00A201F0" w:rsidRDefault="00A201F0" w:rsidP="00A201F0">
      <w:pPr>
        <w:tabs>
          <w:tab w:val="left" w:pos="284"/>
        </w:tabs>
        <w:jc w:val="both"/>
      </w:pPr>
      <w:r>
        <w:rPr>
          <w:rFonts w:eastAsiaTheme="minorHAnsi"/>
          <w:sz w:val="24"/>
          <w:szCs w:val="24"/>
          <w:lang w:eastAsia="en-US"/>
        </w:rPr>
        <w:tab/>
      </w:r>
    </w:p>
    <w:p w:rsidR="00A201F0" w:rsidRDefault="00A201F0" w:rsidP="00A201F0">
      <w:pPr>
        <w:pStyle w:val="vlevo"/>
      </w:pPr>
      <w:r>
        <w:tab/>
        <w:t xml:space="preserve">Město Plzeň je vlastníkem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3574 k. </w:t>
      </w:r>
      <w:proofErr w:type="spellStart"/>
      <w:r>
        <w:t>ú.</w:t>
      </w:r>
      <w:proofErr w:type="spellEnd"/>
      <w:r>
        <w:t xml:space="preserve"> Bolevec na základě § 1 zákona ČNR č. 172/1991 Sb., o přechodu některých věcí z majetku České republiky do vlastnictví obcí, ve znění pozdějších předpisů. Nabývací tituly jsou založeny na odboru EVID MMP.</w:t>
      </w:r>
    </w:p>
    <w:p w:rsidR="00A201F0" w:rsidRDefault="00A201F0" w:rsidP="00A201F0">
      <w:pPr>
        <w:pStyle w:val="vlevo"/>
      </w:pPr>
    </w:p>
    <w:p w:rsidR="00A201F0" w:rsidRDefault="00A201F0" w:rsidP="00A201F0">
      <w:pPr>
        <w:pStyle w:val="vlevo"/>
      </w:pPr>
      <w:r>
        <w:tab/>
        <w:t>Komise pro nakládání s majetkem Rady města Plzně na svém zasedání dne 8. 4. 2014 doporučila Radě města Plzně vyslovit souhlas s výše popsanou majetkovou transakcí.</w:t>
      </w:r>
    </w:p>
    <w:p w:rsidR="009B6433" w:rsidRDefault="009B6433" w:rsidP="00A201F0">
      <w:pPr>
        <w:pStyle w:val="vlevo"/>
      </w:pPr>
      <w:r>
        <w:tab/>
        <w:t>Usnesením Rady města Plzně č. 511 ze dne 15. 5. 2014 byl vysloven souhlas s navrženou majetkovou transakcí.</w:t>
      </w:r>
    </w:p>
    <w:p w:rsidR="009B6433" w:rsidRDefault="009B6433" w:rsidP="00A201F0">
      <w:pPr>
        <w:pStyle w:val="vlevo"/>
      </w:pPr>
    </w:p>
    <w:p w:rsidR="00A201F0" w:rsidRDefault="00A201F0" w:rsidP="00A201F0">
      <w:pPr>
        <w:pStyle w:val="ostzahl"/>
      </w:pPr>
      <w:r>
        <w:t>Předpokládaný cílový stav</w:t>
      </w:r>
    </w:p>
    <w:p w:rsidR="00A201F0" w:rsidRDefault="00A201F0" w:rsidP="00A201F0">
      <w:pPr>
        <w:pStyle w:val="vlevo"/>
        <w:rPr>
          <w:szCs w:val="24"/>
        </w:rPr>
      </w:pPr>
      <w:r>
        <w:rPr>
          <w:szCs w:val="24"/>
        </w:rPr>
        <w:tab/>
        <w:t xml:space="preserve">Realizovat směnnou smlouvu a smlouvu o zřízení služebnosti v k. </w:t>
      </w:r>
      <w:proofErr w:type="spellStart"/>
      <w:r>
        <w:rPr>
          <w:szCs w:val="24"/>
        </w:rPr>
        <w:t>ú.</w:t>
      </w:r>
      <w:proofErr w:type="spellEnd"/>
      <w:r>
        <w:rPr>
          <w:szCs w:val="24"/>
        </w:rPr>
        <w:t xml:space="preserve"> Bolevec mezi městem Plz</w:t>
      </w:r>
      <w:r w:rsidR="007756BD">
        <w:rPr>
          <w:szCs w:val="24"/>
        </w:rPr>
        <w:t>ní</w:t>
      </w:r>
      <w:r>
        <w:rPr>
          <w:szCs w:val="24"/>
        </w:rPr>
        <w:t xml:space="preserve"> a panem Radkem Dobrým. </w:t>
      </w:r>
    </w:p>
    <w:p w:rsidR="009B6433" w:rsidRDefault="009B6433" w:rsidP="00A201F0">
      <w:pPr>
        <w:pStyle w:val="vlevo"/>
      </w:pPr>
    </w:p>
    <w:p w:rsidR="00A201F0" w:rsidRDefault="00A201F0" w:rsidP="00A201F0">
      <w:pPr>
        <w:pStyle w:val="ostzahl"/>
      </w:pPr>
      <w:r>
        <w:t>Navrhované varianty řešení</w:t>
      </w:r>
    </w:p>
    <w:p w:rsidR="00A201F0" w:rsidRDefault="00A201F0" w:rsidP="00A201F0">
      <w:pPr>
        <w:pStyle w:val="vlevo"/>
      </w:pPr>
      <w:r>
        <w:t xml:space="preserve">Viz </w:t>
      </w:r>
      <w:r w:rsidR="007756BD">
        <w:t>návrh usnesení</w:t>
      </w:r>
      <w:r>
        <w:t>.</w:t>
      </w:r>
    </w:p>
    <w:p w:rsidR="009B6433" w:rsidRDefault="009B6433" w:rsidP="00A201F0">
      <w:pPr>
        <w:pStyle w:val="vlevo"/>
      </w:pPr>
    </w:p>
    <w:p w:rsidR="00A201F0" w:rsidRDefault="00A201F0" w:rsidP="00A201F0">
      <w:pPr>
        <w:pStyle w:val="ostzahl"/>
      </w:pPr>
      <w:r>
        <w:tab/>
        <w:t>Doporučená varianta řešení</w:t>
      </w:r>
    </w:p>
    <w:p w:rsidR="00A201F0" w:rsidRDefault="00A201F0" w:rsidP="00A201F0">
      <w:pPr>
        <w:pStyle w:val="vlevo"/>
      </w:pPr>
      <w:r>
        <w:t xml:space="preserve">Viz návrh usnesení. </w:t>
      </w:r>
    </w:p>
    <w:p w:rsidR="009B6433" w:rsidRPr="006D50B6" w:rsidRDefault="009B6433" w:rsidP="00A201F0">
      <w:pPr>
        <w:pStyle w:val="vlevo"/>
      </w:pPr>
    </w:p>
    <w:p w:rsidR="00A201F0" w:rsidRDefault="00A201F0" w:rsidP="00A201F0">
      <w:pPr>
        <w:pStyle w:val="ostzahl"/>
      </w:pPr>
      <w:r>
        <w:t>Finanční nároky řešení a možnosti finančního krytí</w:t>
      </w:r>
    </w:p>
    <w:p w:rsidR="00A201F0" w:rsidRDefault="00A201F0" w:rsidP="00A201F0">
      <w:pPr>
        <w:pStyle w:val="vlevo"/>
      </w:pPr>
      <w:r>
        <w:tab/>
        <w:t xml:space="preserve">Náklady na vyhotovení ZP a vklad do katastru nemovitostí </w:t>
      </w:r>
      <w:proofErr w:type="gramStart"/>
      <w:r>
        <w:t>budou</w:t>
      </w:r>
      <w:proofErr w:type="gramEnd"/>
      <w:r>
        <w:t xml:space="preserve"> hrazeny z rozpočtu </w:t>
      </w:r>
      <w:proofErr w:type="gramStart"/>
      <w:r>
        <w:t>MAJ</w:t>
      </w:r>
      <w:proofErr w:type="gramEnd"/>
      <w:r>
        <w:t xml:space="preserve"> MMP.</w:t>
      </w:r>
    </w:p>
    <w:p w:rsidR="009B6433" w:rsidRDefault="009B6433" w:rsidP="00A201F0">
      <w:pPr>
        <w:pStyle w:val="vlevo"/>
      </w:pPr>
    </w:p>
    <w:p w:rsidR="00A201F0" w:rsidRDefault="00A201F0" w:rsidP="00A201F0">
      <w:pPr>
        <w:pStyle w:val="ostzahl"/>
      </w:pPr>
      <w:r>
        <w:t>Návrh termínů realizace a určení zodpovědných pracovníků</w:t>
      </w:r>
    </w:p>
    <w:p w:rsidR="00A201F0" w:rsidRDefault="00A201F0" w:rsidP="00A201F0">
      <w:pPr>
        <w:pStyle w:val="vlevo"/>
      </w:pPr>
      <w:r>
        <w:t>Viz návrh usnesení.</w:t>
      </w:r>
    </w:p>
    <w:p w:rsidR="009B6433" w:rsidRDefault="009B6433" w:rsidP="00A201F0">
      <w:pPr>
        <w:pStyle w:val="vlevo"/>
      </w:pPr>
    </w:p>
    <w:p w:rsidR="009B6433" w:rsidRDefault="009B6433" w:rsidP="00A201F0">
      <w:pPr>
        <w:pStyle w:val="vlevo"/>
      </w:pPr>
    </w:p>
    <w:p w:rsidR="009B6433" w:rsidRPr="006D50B6" w:rsidRDefault="009B6433" w:rsidP="00A201F0">
      <w:pPr>
        <w:pStyle w:val="vlevo"/>
      </w:pPr>
    </w:p>
    <w:p w:rsidR="00A201F0" w:rsidRDefault="00A201F0" w:rsidP="00A201F0">
      <w:pPr>
        <w:pStyle w:val="ostzahl"/>
      </w:pPr>
      <w:r>
        <w:lastRenderedPageBreak/>
        <w:t>Dříve přijatá usnesení orgánů města nebo městských obvodů, která s tímto návrhem souvisejí</w:t>
      </w:r>
    </w:p>
    <w:p w:rsidR="00A201F0" w:rsidRDefault="00A201F0" w:rsidP="00A201F0">
      <w:pPr>
        <w:pStyle w:val="vlevo"/>
      </w:pPr>
      <w:r>
        <w:t>Stanovisko TÚ MMP</w:t>
      </w:r>
    </w:p>
    <w:p w:rsidR="00A201F0" w:rsidRDefault="00A201F0" w:rsidP="00A201F0">
      <w:pPr>
        <w:pStyle w:val="vlevo"/>
      </w:pPr>
      <w:r>
        <w:t>Usnesení RMO Plzeň 1</w:t>
      </w:r>
    </w:p>
    <w:p w:rsidR="00A201F0" w:rsidRDefault="00A201F0" w:rsidP="00A201F0">
      <w:pPr>
        <w:pStyle w:val="vlevo"/>
      </w:pPr>
      <w:r>
        <w:t>Zápis z KNM RMP</w:t>
      </w:r>
    </w:p>
    <w:p w:rsidR="009B6433" w:rsidRDefault="009B6433" w:rsidP="00A201F0">
      <w:pPr>
        <w:pStyle w:val="vlevo"/>
      </w:pPr>
      <w:r>
        <w:t>Usnesení RMP č. 511/2014.</w:t>
      </w:r>
    </w:p>
    <w:p w:rsidR="009B6433" w:rsidRDefault="009B6433" w:rsidP="00A201F0">
      <w:pPr>
        <w:pStyle w:val="vlevo"/>
      </w:pPr>
    </w:p>
    <w:p w:rsidR="00A201F0" w:rsidRDefault="00A201F0" w:rsidP="00A201F0">
      <w:pPr>
        <w:pStyle w:val="ostzahl"/>
      </w:pPr>
      <w:r>
        <w:t>Závazky či pohledávky vůči městu Plzni</w:t>
      </w:r>
    </w:p>
    <w:p w:rsidR="00A201F0" w:rsidRDefault="00A201F0" w:rsidP="00A201F0">
      <w:pPr>
        <w:pStyle w:val="vlevo"/>
      </w:pPr>
      <w:r>
        <w:t>Ke dni 30. 4. 2014 nejsou evidovány žádné závazky či pohledávky.</w:t>
      </w:r>
    </w:p>
    <w:p w:rsidR="00A201F0" w:rsidRDefault="00A201F0" w:rsidP="00A201F0">
      <w:pPr>
        <w:pStyle w:val="vlevo"/>
      </w:pPr>
    </w:p>
    <w:p w:rsidR="00A201F0" w:rsidRDefault="00A201F0" w:rsidP="00A201F0">
      <w:pPr>
        <w:pStyle w:val="ostzahl"/>
        <w:tabs>
          <w:tab w:val="clear" w:pos="360"/>
          <w:tab w:val="num" w:pos="284"/>
          <w:tab w:val="left" w:pos="426"/>
        </w:tabs>
      </w:pPr>
      <w:r>
        <w:t>Přílohy</w:t>
      </w:r>
    </w:p>
    <w:p w:rsidR="00A201F0" w:rsidRDefault="00A201F0" w:rsidP="00A201F0">
      <w:pPr>
        <w:pStyle w:val="vlevo"/>
      </w:pPr>
      <w:r>
        <w:t>Příloha č. 1 – žádost SVSMP</w:t>
      </w:r>
    </w:p>
    <w:p w:rsidR="00A201F0" w:rsidRDefault="00A201F0" w:rsidP="00A201F0">
      <w:pPr>
        <w:pStyle w:val="vlevo"/>
      </w:pPr>
      <w:r>
        <w:t>Příloha č. 2 – sdělení FO</w:t>
      </w:r>
    </w:p>
    <w:p w:rsidR="00A201F0" w:rsidRDefault="00A201F0" w:rsidP="00A201F0">
      <w:pPr>
        <w:pStyle w:val="vlevo"/>
      </w:pPr>
      <w:r>
        <w:t>Příloha č. 3 – zápisy z jednání</w:t>
      </w:r>
    </w:p>
    <w:p w:rsidR="00A201F0" w:rsidRDefault="00A201F0" w:rsidP="00A201F0">
      <w:pPr>
        <w:pStyle w:val="vlevo"/>
      </w:pPr>
      <w:r>
        <w:t>Příloha č. 4 – stanovisko TÚ</w:t>
      </w:r>
    </w:p>
    <w:p w:rsidR="00A201F0" w:rsidRDefault="00A201F0" w:rsidP="00A201F0">
      <w:pPr>
        <w:pStyle w:val="vlevo"/>
      </w:pPr>
      <w:r>
        <w:t>Příloha č. 5 – usnesení RMO Plzeň 1</w:t>
      </w:r>
    </w:p>
    <w:p w:rsidR="00A201F0" w:rsidRDefault="00A201F0" w:rsidP="00A201F0">
      <w:pPr>
        <w:pStyle w:val="vlevo"/>
      </w:pPr>
      <w:r>
        <w:t>Příloha č. 6 – zápis z KNM RMP</w:t>
      </w:r>
    </w:p>
    <w:p w:rsidR="00A201F0" w:rsidRDefault="00A201F0" w:rsidP="00A201F0">
      <w:pPr>
        <w:pStyle w:val="vlevo"/>
      </w:pPr>
      <w:r>
        <w:t xml:space="preserve">Příloha č. 7 – katastrální mapy – modrá mapa, územní plán, letecký snímek, orientační </w:t>
      </w:r>
      <w:r>
        <w:tab/>
      </w:r>
      <w:r>
        <w:tab/>
      </w:r>
      <w:r>
        <w:tab/>
        <w:t xml:space="preserve">          turistická mapa</w:t>
      </w:r>
    </w:p>
    <w:p w:rsidR="009B6433" w:rsidRDefault="009B6433" w:rsidP="00A201F0">
      <w:pPr>
        <w:pStyle w:val="vlevo"/>
      </w:pPr>
      <w:r>
        <w:t>Příloha č. 8 – usnesení RMP č. 511/2014.</w:t>
      </w:r>
    </w:p>
    <w:p w:rsidR="00A201F0" w:rsidRDefault="00A201F0" w:rsidP="00A201F0">
      <w:pPr>
        <w:pStyle w:val="vlevo"/>
      </w:pPr>
    </w:p>
    <w:p w:rsidR="009B6433" w:rsidRDefault="009B6433" w:rsidP="00A201F0">
      <w:pPr>
        <w:pStyle w:val="vlevo"/>
      </w:pPr>
    </w:p>
    <w:p w:rsidR="009B6433" w:rsidRDefault="009B6433" w:rsidP="00A201F0">
      <w:pPr>
        <w:pStyle w:val="vlevo"/>
      </w:pPr>
      <w:bookmarkStart w:id="0" w:name="_GoBack"/>
      <w:bookmarkEnd w:id="0"/>
    </w:p>
    <w:p w:rsidR="00A201F0" w:rsidRDefault="00A201F0" w:rsidP="00A201F0">
      <w:pPr>
        <w:pStyle w:val="vlevo"/>
      </w:pPr>
      <w:r>
        <w:t>Poznámka: znalecké posudky jsou k dispozici u předkladatele materiálu.</w:t>
      </w:r>
    </w:p>
    <w:p w:rsidR="00A201F0" w:rsidRDefault="00A201F0" w:rsidP="00A201F0">
      <w:pPr>
        <w:pStyle w:val="vlevo"/>
      </w:pPr>
      <w:r>
        <w:t xml:space="preserve">Zpracovala dne 30. </w:t>
      </w:r>
      <w:r w:rsidR="009B6433">
        <w:t>5</w:t>
      </w:r>
      <w:r>
        <w:t>. 2014</w:t>
      </w:r>
    </w:p>
    <w:p w:rsidR="00A201F0" w:rsidRDefault="00A201F0" w:rsidP="00A201F0">
      <w:pPr>
        <w:pStyle w:val="vlevo"/>
      </w:pPr>
      <w:r>
        <w:t>Jitka Kašparová, MAJ MMP.</w:t>
      </w:r>
    </w:p>
    <w:p w:rsidR="00763863" w:rsidRDefault="009B6433"/>
    <w:sectPr w:rsidR="0076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A2FD4"/>
    <w:multiLevelType w:val="singleLevel"/>
    <w:tmpl w:val="BC22000C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F0"/>
    <w:rsid w:val="004901A9"/>
    <w:rsid w:val="007756BD"/>
    <w:rsid w:val="009B6433"/>
    <w:rsid w:val="00A201F0"/>
    <w:rsid w:val="00D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1F0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levoChar">
    <w:name w:val="vlevo Char"/>
    <w:basedOn w:val="Standardnpsmoodstavce"/>
    <w:link w:val="vlevo"/>
    <w:locked/>
    <w:rsid w:val="00A201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A201F0"/>
    <w:pPr>
      <w:tabs>
        <w:tab w:val="left" w:pos="284"/>
      </w:tabs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A201F0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rsid w:val="00A201F0"/>
    <w:pPr>
      <w:numPr>
        <w:numId w:val="1"/>
      </w:numPr>
      <w:spacing w:before="120" w:after="120"/>
    </w:pPr>
    <w:rPr>
      <w:b/>
      <w:spacing w:val="2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56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6B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1F0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levoChar">
    <w:name w:val="vlevo Char"/>
    <w:basedOn w:val="Standardnpsmoodstavce"/>
    <w:link w:val="vlevo"/>
    <w:locked/>
    <w:rsid w:val="00A201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A201F0"/>
    <w:pPr>
      <w:tabs>
        <w:tab w:val="left" w:pos="284"/>
      </w:tabs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A201F0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rsid w:val="00A201F0"/>
    <w:pPr>
      <w:numPr>
        <w:numId w:val="1"/>
      </w:numPr>
      <w:spacing w:before="120" w:after="120"/>
    </w:pPr>
    <w:rPr>
      <w:b/>
      <w:spacing w:val="2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56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6B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1438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Kašparová Jitka</cp:lastModifiedBy>
  <cp:revision>3</cp:revision>
  <cp:lastPrinted>2014-04-28T10:13:00Z</cp:lastPrinted>
  <dcterms:created xsi:type="dcterms:W3CDTF">2014-04-28T08:43:00Z</dcterms:created>
  <dcterms:modified xsi:type="dcterms:W3CDTF">2014-05-21T08:18:00Z</dcterms:modified>
</cp:coreProperties>
</file>