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0" w:rsidRDefault="001E4120" w:rsidP="001E41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 ů v o d o v á    z p r á v a</w:t>
      </w:r>
      <w:proofErr w:type="gramEnd"/>
    </w:p>
    <w:p w:rsidR="001E4120" w:rsidRDefault="001E4120" w:rsidP="001E4120">
      <w:pPr>
        <w:jc w:val="center"/>
        <w:rPr>
          <w:b/>
          <w:sz w:val="28"/>
          <w:szCs w:val="28"/>
        </w:rPr>
      </w:pPr>
    </w:p>
    <w:p w:rsidR="001E4120" w:rsidRDefault="001E4120" w:rsidP="001E41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Název problému a jeho charakteristika</w:t>
      </w:r>
    </w:p>
    <w:p w:rsidR="001E4120" w:rsidRDefault="001E4120" w:rsidP="001E41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výkonu úkolů strážníků Městské policie Plzeň, vyplývajících ze zákona č. 553/1991 Sb., o obecní policii v platném znění a z dalších platných právních předpisů na území města Dobřany na základě uzavřené veřejnoprávní smlouvy. </w:t>
      </w:r>
    </w:p>
    <w:p w:rsidR="001E4120" w:rsidRDefault="001E4120" w:rsidP="001E4120">
      <w:pPr>
        <w:jc w:val="both"/>
        <w:rPr>
          <w:sz w:val="24"/>
          <w:szCs w:val="24"/>
        </w:rPr>
      </w:pPr>
    </w:p>
    <w:p w:rsidR="001E4120" w:rsidRDefault="001E4120" w:rsidP="001E41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Konstatování současného stavu a jeho analýza</w:t>
      </w:r>
    </w:p>
    <w:p w:rsidR="001E4120" w:rsidRDefault="001E4120" w:rsidP="001E41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plní Městská policie Plzeň úkoly při zabezpečování místních záležitostí veřejného pořádku na území města Dobřany na základě veřejnoprávní smlouvy, která nabyla právní moci dne </w:t>
      </w:r>
      <w:proofErr w:type="gramStart"/>
      <w:r>
        <w:rPr>
          <w:sz w:val="24"/>
          <w:szCs w:val="24"/>
        </w:rPr>
        <w:t>1.9.2006</w:t>
      </w:r>
      <w:proofErr w:type="gramEnd"/>
      <w:r>
        <w:rPr>
          <w:sz w:val="24"/>
          <w:szCs w:val="24"/>
        </w:rPr>
        <w:t xml:space="preserve"> schválením Krajského úřadu Plzeňského kraje. Předkládaný návrh smlouvy reaguje na změnu právních předpisů především v oblasti přestupkového práva, zobecňuje rozsah plnění úkolů Městské policie Plzeň na území města Dobřany odkazem na obecné povinnosti a oprávnění strážníků ze zákona o obecní policii a zvláštních zákonů. Dále zvyšuje úhradu nákladů za výkon činnosti strážníka na území města Dobřany ze stávajících 200 Kč/hod. na 290 Kč/hod. a zavádí možnost účtování 377 Kč/hod. za výkon přesčasové práce strážníka. Časový rozsah výkonu strážníků na území města Dobřany se mění tak, že z předem stanovených 16 dvanáctihodinových směn jednoho strážníka za jeden měsíc nová smlouva přechází na režim nerovnoměrně rozvržené pracovní doby dvoučlenné hlídky strážníků, což umožní operativnější plánování výkonu služby v Plzni i Dobřanech dle aktuálních personálních kapacit Městské policie Plzeň.      </w:t>
      </w:r>
    </w:p>
    <w:p w:rsidR="001E4120" w:rsidRDefault="001E4120" w:rsidP="001E4120">
      <w:pPr>
        <w:ind w:left="284"/>
        <w:jc w:val="both"/>
        <w:rPr>
          <w:sz w:val="24"/>
          <w:szCs w:val="24"/>
        </w:rPr>
      </w:pPr>
    </w:p>
    <w:p w:rsidR="001E4120" w:rsidRDefault="001E4120" w:rsidP="001E41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Předpokládaný cílový stav</w:t>
      </w:r>
    </w:p>
    <w:p w:rsidR="001E4120" w:rsidRDefault="001E4120" w:rsidP="001E41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výkonu úkolů strážníků Městské policie Plzeň vyplývajících ze zákona č. 553/1991 Sb., o obecní policii, v platném znění a z dalších platných právních předpisů, a to na území města Dobřany na základě uzavřené veřejnoprávní smlouvy. </w:t>
      </w:r>
    </w:p>
    <w:p w:rsidR="001E4120" w:rsidRDefault="001E4120" w:rsidP="001E4120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Město Dobřany se zavazuje</w:t>
      </w:r>
      <w:r>
        <w:rPr>
          <w:sz w:val="24"/>
          <w:szCs w:val="24"/>
        </w:rPr>
        <w:t>, že uhradí náklady spojené s úkoly strážníků Městské policie Plzeň uskutečněnými na území města Dobřany, a to na podkladě výzvy k zaplacení (další v textu veřejnoprávní smlouvy - viz příloha).</w:t>
      </w:r>
    </w:p>
    <w:p w:rsidR="001E4120" w:rsidRDefault="001E4120" w:rsidP="001E4120">
      <w:pPr>
        <w:jc w:val="both"/>
        <w:rPr>
          <w:sz w:val="24"/>
          <w:szCs w:val="24"/>
        </w:rPr>
      </w:pPr>
    </w:p>
    <w:p w:rsidR="001E4120" w:rsidRDefault="001E4120" w:rsidP="001E41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Navrhované varianty řešení</w:t>
      </w:r>
    </w:p>
    <w:p w:rsidR="001E4120" w:rsidRDefault="001E4120" w:rsidP="001E4120">
      <w:pPr>
        <w:jc w:val="both"/>
        <w:rPr>
          <w:sz w:val="24"/>
          <w:szCs w:val="24"/>
        </w:rPr>
      </w:pPr>
      <w:r>
        <w:rPr>
          <w:sz w:val="24"/>
          <w:szCs w:val="24"/>
        </w:rPr>
        <w:t>Není variantní</w:t>
      </w:r>
    </w:p>
    <w:p w:rsidR="001E4120" w:rsidRDefault="001E4120" w:rsidP="001E4120">
      <w:pPr>
        <w:jc w:val="both"/>
        <w:rPr>
          <w:sz w:val="24"/>
          <w:szCs w:val="24"/>
        </w:rPr>
      </w:pPr>
    </w:p>
    <w:p w:rsidR="001E4120" w:rsidRDefault="001E4120" w:rsidP="001E41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Doporučená varianta řešení</w:t>
      </w:r>
    </w:p>
    <w:p w:rsidR="001E4120" w:rsidRDefault="001E4120" w:rsidP="001E4120">
      <w:pPr>
        <w:jc w:val="both"/>
        <w:rPr>
          <w:sz w:val="24"/>
          <w:szCs w:val="24"/>
        </w:rPr>
      </w:pPr>
      <w:r>
        <w:rPr>
          <w:sz w:val="24"/>
          <w:szCs w:val="24"/>
        </w:rPr>
        <w:t>Není variantní</w:t>
      </w:r>
    </w:p>
    <w:p w:rsidR="001E4120" w:rsidRDefault="001E4120" w:rsidP="001E4120">
      <w:pPr>
        <w:jc w:val="both"/>
        <w:rPr>
          <w:sz w:val="24"/>
          <w:szCs w:val="24"/>
        </w:rPr>
      </w:pPr>
    </w:p>
    <w:p w:rsidR="001E4120" w:rsidRDefault="001E4120" w:rsidP="001E412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1E4120" w:rsidRDefault="001E4120" w:rsidP="001E4120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nároky na rozpočet Městské policie Plzeň nejsou. </w:t>
      </w:r>
    </w:p>
    <w:p w:rsidR="001E4120" w:rsidRDefault="001E4120" w:rsidP="001E4120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spojené s úkoly strážníků Městské policie Plzeň uskutečněnými na území města Dobřany budou hrazeny z rozpočtu města Dobřany, a to na podkladě výzvy k zaplacení. </w:t>
      </w:r>
    </w:p>
    <w:p w:rsidR="001E4120" w:rsidRDefault="001E4120" w:rsidP="001E4120">
      <w:pPr>
        <w:jc w:val="both"/>
        <w:rPr>
          <w:sz w:val="24"/>
          <w:szCs w:val="24"/>
        </w:rPr>
      </w:pPr>
    </w:p>
    <w:p w:rsidR="001E4120" w:rsidRDefault="001E4120" w:rsidP="001E412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1E4120" w:rsidRDefault="001E4120" w:rsidP="001E4120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Předložit k projednání v ZMP 12. 6. 2014, zodpovídá Mgr. Robert Houdek, radní města</w:t>
      </w:r>
    </w:p>
    <w:p w:rsidR="001E4120" w:rsidRDefault="001E4120" w:rsidP="001E4120">
      <w:pPr>
        <w:jc w:val="both"/>
        <w:rPr>
          <w:sz w:val="24"/>
          <w:szCs w:val="24"/>
        </w:rPr>
      </w:pPr>
    </w:p>
    <w:p w:rsidR="001E4120" w:rsidRDefault="001E4120" w:rsidP="001E412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1E4120" w:rsidRDefault="001E4120" w:rsidP="001E4120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Zastupitelstva města Plzně č. 289 ze dne </w:t>
      </w:r>
      <w:proofErr w:type="gramStart"/>
      <w:r>
        <w:rPr>
          <w:sz w:val="24"/>
          <w:szCs w:val="24"/>
        </w:rPr>
        <w:t>22.6.2006</w:t>
      </w:r>
      <w:proofErr w:type="gramEnd"/>
      <w:r>
        <w:rPr>
          <w:sz w:val="24"/>
          <w:szCs w:val="24"/>
        </w:rPr>
        <w:t>.</w:t>
      </w:r>
    </w:p>
    <w:p w:rsidR="001E4120" w:rsidRDefault="001E4120" w:rsidP="001E4120">
      <w:pPr>
        <w:jc w:val="both"/>
        <w:rPr>
          <w:b/>
          <w:sz w:val="24"/>
          <w:szCs w:val="24"/>
        </w:rPr>
      </w:pPr>
    </w:p>
    <w:p w:rsidR="001E4120" w:rsidRDefault="001E4120" w:rsidP="001E412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Závazky či pohledávky vůči městu Plzni</w:t>
      </w:r>
    </w:p>
    <w:p w:rsidR="001E4120" w:rsidRDefault="001E4120" w:rsidP="001E4120">
      <w:pPr>
        <w:ind w:left="283"/>
        <w:rPr>
          <w:sz w:val="24"/>
          <w:szCs w:val="24"/>
        </w:rPr>
      </w:pPr>
      <w:r>
        <w:rPr>
          <w:sz w:val="24"/>
          <w:szCs w:val="24"/>
        </w:rPr>
        <w:t>Nejsou</w:t>
      </w:r>
    </w:p>
    <w:p w:rsidR="001E4120" w:rsidRDefault="001E4120" w:rsidP="001E4120">
      <w:pPr>
        <w:ind w:left="283"/>
        <w:rPr>
          <w:sz w:val="24"/>
          <w:szCs w:val="24"/>
        </w:rPr>
      </w:pPr>
    </w:p>
    <w:p w:rsidR="009D6F2C" w:rsidRDefault="009D6F2C" w:rsidP="009D6F2C">
      <w:pPr>
        <w:ind w:left="283"/>
        <w:rPr>
          <w:sz w:val="24"/>
          <w:szCs w:val="24"/>
        </w:rPr>
      </w:pPr>
    </w:p>
    <w:p w:rsidR="009D6F2C" w:rsidRDefault="009D6F2C" w:rsidP="009D6F2C">
      <w:pPr>
        <w:rPr>
          <w:b/>
          <w:sz w:val="24"/>
          <w:szCs w:val="24"/>
        </w:rPr>
      </w:pPr>
    </w:p>
    <w:p w:rsidR="009D6F2C" w:rsidRDefault="009D6F2C" w:rsidP="009D6F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Přílohy</w:t>
      </w:r>
    </w:p>
    <w:p w:rsidR="009D6F2C" w:rsidRDefault="009D6F2C" w:rsidP="009D6F2C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Návrh veřejnoprávní smlouvy mezi Statutárním městem Plzeň a městem Dobřany – pouze v elektronické podobě z důvodu rozsáhlosti</w:t>
      </w:r>
    </w:p>
    <w:p w:rsidR="009D6F2C" w:rsidRDefault="009D6F2C" w:rsidP="009D6F2C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Předpokládané náklady, spojené s plněním úkolů strážníků MP na území cizího města</w:t>
      </w:r>
    </w:p>
    <w:p w:rsidR="009D6F2C" w:rsidRDefault="009D6F2C" w:rsidP="009D6F2C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Dopis starosty města Dobřany ze dne </w:t>
      </w:r>
      <w:proofErr w:type="gramStart"/>
      <w:r>
        <w:rPr>
          <w:sz w:val="24"/>
          <w:szCs w:val="24"/>
        </w:rPr>
        <w:t>4.6.2014</w:t>
      </w:r>
      <w:proofErr w:type="gramEnd"/>
    </w:p>
    <w:p w:rsidR="009D6F2C" w:rsidRDefault="009D6F2C" w:rsidP="009D6F2C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Výpis usnesení Rady města Dobřany ze dne </w:t>
      </w:r>
      <w:proofErr w:type="gramStart"/>
      <w:r>
        <w:rPr>
          <w:sz w:val="24"/>
          <w:szCs w:val="24"/>
        </w:rPr>
        <w:t>27.5.2014</w:t>
      </w:r>
      <w:proofErr w:type="gramEnd"/>
    </w:p>
    <w:p w:rsidR="009D6F2C" w:rsidRDefault="009D6F2C" w:rsidP="009D6F2C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Text aktuální veřejnoprávní smlouvy mezi Statutárním městem Plzeň a městem Dobřany – pouze v elektronické podobě z důvodu rozsáhlosti</w:t>
      </w:r>
    </w:p>
    <w:p w:rsidR="001E4120" w:rsidRDefault="001E4120" w:rsidP="001E4120">
      <w:pPr>
        <w:rPr>
          <w:sz w:val="24"/>
          <w:szCs w:val="24"/>
        </w:rPr>
      </w:pPr>
      <w:bookmarkStart w:id="0" w:name="_GoBack"/>
      <w:bookmarkEnd w:id="0"/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rPr>
          <w:sz w:val="24"/>
          <w:szCs w:val="24"/>
        </w:rPr>
      </w:pPr>
    </w:p>
    <w:p w:rsidR="001E4120" w:rsidRDefault="001E4120" w:rsidP="001E4120">
      <w:pPr>
        <w:jc w:val="both"/>
      </w:pPr>
    </w:p>
    <w:p w:rsidR="001E4120" w:rsidRDefault="001E4120" w:rsidP="001E4120">
      <w:pPr>
        <w:jc w:val="center"/>
        <w:rPr>
          <w:b/>
          <w:sz w:val="36"/>
        </w:rPr>
      </w:pPr>
    </w:p>
    <w:p w:rsidR="001E4120" w:rsidRDefault="001E4120" w:rsidP="001E4120">
      <w:pPr>
        <w:jc w:val="center"/>
        <w:rPr>
          <w:b/>
          <w:sz w:val="36"/>
        </w:rPr>
      </w:pPr>
    </w:p>
    <w:p w:rsidR="001E4120" w:rsidRDefault="001E4120" w:rsidP="001E4120">
      <w:pPr>
        <w:jc w:val="center"/>
        <w:rPr>
          <w:b/>
          <w:sz w:val="36"/>
        </w:rPr>
      </w:pPr>
    </w:p>
    <w:p w:rsidR="001E4120" w:rsidRDefault="001E4120" w:rsidP="001E4120">
      <w:pPr>
        <w:jc w:val="center"/>
        <w:rPr>
          <w:b/>
          <w:sz w:val="36"/>
        </w:rPr>
      </w:pPr>
    </w:p>
    <w:p w:rsidR="001E4120" w:rsidRDefault="001E4120" w:rsidP="001E4120">
      <w:pPr>
        <w:jc w:val="center"/>
        <w:rPr>
          <w:b/>
          <w:sz w:val="36"/>
        </w:rPr>
      </w:pPr>
    </w:p>
    <w:p w:rsidR="001E4120" w:rsidRDefault="001E4120" w:rsidP="001E4120">
      <w:pPr>
        <w:jc w:val="center"/>
        <w:rPr>
          <w:b/>
          <w:sz w:val="24"/>
          <w:szCs w:val="24"/>
        </w:rPr>
      </w:pPr>
    </w:p>
    <w:p w:rsidR="001E4120" w:rsidRDefault="001E4120" w:rsidP="001E4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Mgr. Marek Šilhan</w:t>
      </w:r>
    </w:p>
    <w:p w:rsidR="001E4120" w:rsidRDefault="001E4120" w:rsidP="001E4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velitel Městské policie Plzeň</w:t>
      </w:r>
    </w:p>
    <w:p w:rsidR="001E4120" w:rsidRDefault="001E4120" w:rsidP="001E4120">
      <w:pPr>
        <w:jc w:val="center"/>
        <w:rPr>
          <w:b/>
          <w:sz w:val="24"/>
          <w:szCs w:val="24"/>
        </w:rPr>
      </w:pPr>
    </w:p>
    <w:p w:rsidR="00BD19A5" w:rsidRPr="001E4120" w:rsidRDefault="009D6F2C" w:rsidP="001E4120"/>
    <w:sectPr w:rsidR="00BD19A5" w:rsidRPr="001E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69D27B9B"/>
    <w:multiLevelType w:val="hybridMultilevel"/>
    <w:tmpl w:val="9C7E1C0A"/>
    <w:lvl w:ilvl="0" w:tplc="040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0"/>
    <w:rsid w:val="001E4120"/>
    <w:rsid w:val="00356D68"/>
    <w:rsid w:val="00907A93"/>
    <w:rsid w:val="009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Antonín</dc:creator>
  <cp:lastModifiedBy>Daniel Antonín</cp:lastModifiedBy>
  <cp:revision>2</cp:revision>
  <dcterms:created xsi:type="dcterms:W3CDTF">2014-06-09T11:51:00Z</dcterms:created>
  <dcterms:modified xsi:type="dcterms:W3CDTF">2014-06-09T11:51:00Z</dcterms:modified>
</cp:coreProperties>
</file>