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BF" w:rsidRDefault="00A111BF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A111BF" w:rsidRDefault="00A111BF">
      <w:pPr>
        <w:pStyle w:val="ostzahl"/>
      </w:pPr>
      <w:r>
        <w:t>Název problému a jeho charakteristika</w:t>
      </w:r>
    </w:p>
    <w:p w:rsidR="00A111BF" w:rsidRDefault="00A111BF" w:rsidP="00CD0343">
      <w:pPr>
        <w:pStyle w:val="vlevo"/>
      </w:pPr>
      <w:r>
        <w:t>Rozpočet města Plzně na rok 201</w:t>
      </w:r>
      <w:r w:rsidR="002060FC">
        <w:t>5</w:t>
      </w:r>
      <w:r>
        <w:t xml:space="preserve"> včetně rozpočtového výhledu na roky 201</w:t>
      </w:r>
      <w:r w:rsidR="002060FC">
        <w:t>6</w:t>
      </w:r>
      <w:r>
        <w:t xml:space="preserve"> – 201</w:t>
      </w:r>
      <w:r w:rsidR="002060FC">
        <w:t>8</w:t>
      </w:r>
      <w:r>
        <w:t>.</w:t>
      </w:r>
    </w:p>
    <w:p w:rsidR="002060FC" w:rsidRDefault="002060FC" w:rsidP="00CD0343">
      <w:pPr>
        <w:pStyle w:val="vlevo"/>
      </w:pPr>
    </w:p>
    <w:p w:rsidR="00A111BF" w:rsidRDefault="00A111BF">
      <w:pPr>
        <w:pStyle w:val="ostzahl"/>
      </w:pPr>
      <w:r>
        <w:t>Konstatování současného stavu a jeho analýza</w:t>
      </w:r>
    </w:p>
    <w:p w:rsidR="00742B6A" w:rsidRDefault="00C14B08" w:rsidP="00302CD3">
      <w:pPr>
        <w:pStyle w:val="vlevo"/>
      </w:pPr>
      <w:r>
        <w:t>Rozpočet města Plzně na rok 201</w:t>
      </w:r>
      <w:r w:rsidR="002060FC">
        <w:t>5</w:t>
      </w:r>
      <w:r>
        <w:t xml:space="preserve"> byl sestaven na základě potřeb a priorit jednotlivých správců rozpočtu v návaznosti na reálné možnosti krytí těchto potřeb. </w:t>
      </w:r>
    </w:p>
    <w:p w:rsidR="00FC2AB7" w:rsidRDefault="00FC2AB7" w:rsidP="00C14B08">
      <w:pPr>
        <w:pStyle w:val="vlevo"/>
      </w:pPr>
    </w:p>
    <w:p w:rsidR="004B13DF" w:rsidRDefault="00BE79F9" w:rsidP="008D7966">
      <w:pPr>
        <w:pStyle w:val="vlevo"/>
      </w:pPr>
      <w:r>
        <w:t>Vyrov</w:t>
      </w:r>
      <w:r w:rsidR="00924DB6">
        <w:t>n</w:t>
      </w:r>
      <w:r>
        <w:t>ané bilance roz</w:t>
      </w:r>
      <w:r w:rsidR="00924DB6">
        <w:t xml:space="preserve">počtu </w:t>
      </w:r>
      <w:r w:rsidR="00E93823">
        <w:t>m</w:t>
      </w:r>
      <w:r>
        <w:t xml:space="preserve">ěsta je dosaženo </w:t>
      </w:r>
      <w:r w:rsidR="00924DB6">
        <w:t xml:space="preserve">použitím prostředků </w:t>
      </w:r>
      <w:proofErr w:type="gramStart"/>
      <w:r w:rsidR="00924DB6">
        <w:t xml:space="preserve">nakumulovaných </w:t>
      </w:r>
      <w:r w:rsidR="004012DE" w:rsidRPr="00025694">
        <w:t xml:space="preserve"> v předchozích</w:t>
      </w:r>
      <w:proofErr w:type="gramEnd"/>
      <w:r w:rsidR="004012DE" w:rsidRPr="00025694">
        <w:t xml:space="preserve"> letech ve fondech města</w:t>
      </w:r>
      <w:r w:rsidR="00924DB6">
        <w:t>, a to zejména:</w:t>
      </w:r>
    </w:p>
    <w:p w:rsidR="003F7BD4" w:rsidRDefault="004B13DF" w:rsidP="004B13DF">
      <w:pPr>
        <w:pStyle w:val="vlevo"/>
        <w:numPr>
          <w:ilvl w:val="0"/>
          <w:numId w:val="24"/>
        </w:numPr>
      </w:pPr>
      <w:r>
        <w:t>použitím dočasně volných prostředků F</w:t>
      </w:r>
      <w:r w:rsidR="004012DE" w:rsidRPr="00025694">
        <w:t>ondu pro kofinancová</w:t>
      </w:r>
      <w:r>
        <w:t>ní dotovaných projektů města Plzně</w:t>
      </w:r>
      <w:r w:rsidR="003F7BD4">
        <w:t xml:space="preserve"> (dále jen FKD)</w:t>
      </w:r>
      <w:r>
        <w:t xml:space="preserve"> a Fondu rezerv a rozvoje </w:t>
      </w:r>
      <w:r w:rsidR="003F7BD4">
        <w:t xml:space="preserve">města Plzně (dále jen FRR) </w:t>
      </w:r>
      <w:r>
        <w:t xml:space="preserve">v celkové výši 709 mil. Kč. </w:t>
      </w:r>
      <w:proofErr w:type="gramStart"/>
      <w:r>
        <w:t>na</w:t>
      </w:r>
      <w:proofErr w:type="gramEnd"/>
      <w:r>
        <w:t xml:space="preserve"> odkup akcií společnosti Vodárna Plzeň, a.s.</w:t>
      </w:r>
      <w:r w:rsidR="003F7BD4">
        <w:t>,</w:t>
      </w:r>
    </w:p>
    <w:p w:rsidR="003F7BD4" w:rsidRDefault="003F7BD4" w:rsidP="004B13DF">
      <w:pPr>
        <w:pStyle w:val="vlevo"/>
        <w:numPr>
          <w:ilvl w:val="0"/>
          <w:numId w:val="24"/>
        </w:numPr>
      </w:pPr>
      <w:r>
        <w:t xml:space="preserve">použitím </w:t>
      </w:r>
      <w:r w:rsidR="00E55371" w:rsidRPr="00025694">
        <w:t xml:space="preserve"> </w:t>
      </w:r>
      <w:r>
        <w:t>FKD na projekty</w:t>
      </w:r>
      <w:r w:rsidR="004012DE" w:rsidRPr="00025694">
        <w:t xml:space="preserve"> spol</w:t>
      </w:r>
      <w:r>
        <w:t>ufinancované z dotačních titulů</w:t>
      </w:r>
    </w:p>
    <w:p w:rsidR="00E55371" w:rsidRDefault="003F7BD4" w:rsidP="004B13DF">
      <w:pPr>
        <w:pStyle w:val="vlevo"/>
        <w:numPr>
          <w:ilvl w:val="0"/>
          <w:numId w:val="24"/>
        </w:numPr>
      </w:pPr>
      <w:r>
        <w:t xml:space="preserve">použitím </w:t>
      </w:r>
      <w:r w:rsidR="004012DE" w:rsidRPr="00025694">
        <w:t>Fondu rezerv a rozvoje MP</w:t>
      </w:r>
      <w:r>
        <w:t xml:space="preserve"> na projekty,</w:t>
      </w:r>
      <w:r w:rsidR="004012DE" w:rsidRPr="00025694">
        <w:t xml:space="preserve"> jejichž financování přechází z roku </w:t>
      </w:r>
      <w:r w:rsidR="00E55371" w:rsidRPr="00025694">
        <w:t>201</w:t>
      </w:r>
      <w:r w:rsidR="00F71DD7">
        <w:t>4</w:t>
      </w:r>
    </w:p>
    <w:p w:rsidR="00E55371" w:rsidRDefault="00E55371" w:rsidP="00C14B08">
      <w:pPr>
        <w:pStyle w:val="vlevo"/>
      </w:pPr>
    </w:p>
    <w:p w:rsidR="003F7BD4" w:rsidRDefault="003F7BD4" w:rsidP="00C14B08">
      <w:pPr>
        <w:pStyle w:val="vlevo"/>
      </w:pPr>
      <w:r>
        <w:t xml:space="preserve">Použití </w:t>
      </w:r>
      <w:r w:rsidRPr="003F7BD4">
        <w:t>dočasně volných prostředků Fondu pro kofinancování dotovaných projektů města Plzně (dále jen FKD) a Fondu rezerv a rozvoje města Plzn</w:t>
      </w:r>
      <w:r>
        <w:t>ě (dále jen FRR) v celkové výši</w:t>
      </w:r>
    </w:p>
    <w:p w:rsidR="003F7BD4" w:rsidRDefault="003F7BD4" w:rsidP="00C14B08">
      <w:pPr>
        <w:pStyle w:val="vlevo"/>
      </w:pPr>
      <w:r>
        <w:t>709 mil. Kč</w:t>
      </w:r>
      <w:r w:rsidRPr="003F7BD4">
        <w:t xml:space="preserve"> na odkup akcií společnosti Vodárna Plzeň, a.s.</w:t>
      </w:r>
      <w:r>
        <w:t xml:space="preserve"> je vázáno zpětným doplněním obou fondů z příjmů z prodeje vodárenského majetku společnosti Vodárna Plzeň, a.s. v roce 2016. Použití Fondu pro kofinancování dotovaných projektů MP je navíc podmíněno schválením výjimky v zastupitelstvu města, protože prostředky fondu jsou v souladu s jeho Statutem primárně určeny na z</w:t>
      </w:r>
      <w:r w:rsidRPr="003F7BD4">
        <w:t>ajištění kofinancování jednotlivých projektů města Plzně s účastí zdrojů z dotačních titulů a úvěrů Evropské investiční banky.</w:t>
      </w:r>
    </w:p>
    <w:p w:rsidR="003F7BD4" w:rsidRDefault="003F7BD4" w:rsidP="00C14B08">
      <w:pPr>
        <w:pStyle w:val="vlevo"/>
      </w:pPr>
    </w:p>
    <w:p w:rsidR="00014639" w:rsidRDefault="00014639" w:rsidP="00C14B08">
      <w:pPr>
        <w:pStyle w:val="vlevo"/>
      </w:pPr>
      <w:r>
        <w:t xml:space="preserve">V rámci rozpočtu celoměstských orgánů (MMP) je </w:t>
      </w:r>
      <w:r w:rsidR="00A94BB6">
        <w:t>na příjmové stránce kalkulováno s</w:t>
      </w:r>
      <w:r>
        <w:t xml:space="preserve"> dotac</w:t>
      </w:r>
      <w:r w:rsidR="00A94BB6">
        <w:t>í</w:t>
      </w:r>
      <w:r>
        <w:t xml:space="preserve"> ze státního rozpočtu, tzv. souhrnný</w:t>
      </w:r>
      <w:r w:rsidR="00A94BB6">
        <w:t>m</w:t>
      </w:r>
      <w:r>
        <w:t xml:space="preserve"> dotační</w:t>
      </w:r>
      <w:r w:rsidR="00A94BB6">
        <w:t>m</w:t>
      </w:r>
      <w:r>
        <w:t xml:space="preserve"> vztah</w:t>
      </w:r>
      <w:r w:rsidR="00A94BB6">
        <w:t>em</w:t>
      </w:r>
      <w:r>
        <w:t xml:space="preserve"> (</w:t>
      </w:r>
      <w:r w:rsidR="00A94BB6">
        <w:t xml:space="preserve">tj. </w:t>
      </w:r>
      <w:r>
        <w:t>p</w:t>
      </w:r>
      <w:r w:rsidR="00A94BB6">
        <w:t>říspěvek na výkon státní správy a</w:t>
      </w:r>
      <w:r>
        <w:t xml:space="preserve"> dotace pro</w:t>
      </w:r>
      <w:r w:rsidR="004474E4">
        <w:t xml:space="preserve"> Dětské centrum Plzeň</w:t>
      </w:r>
      <w:r w:rsidR="0092689C">
        <w:t>)</w:t>
      </w:r>
      <w:r>
        <w:t xml:space="preserve">. </w:t>
      </w:r>
      <w:r w:rsidR="00FC2AB7">
        <w:t xml:space="preserve">Výše dotace je zapracována </w:t>
      </w:r>
      <w:r w:rsidR="006F3A18">
        <w:t>na základě 1. čtení</w:t>
      </w:r>
      <w:r w:rsidR="00FC2AB7">
        <w:t xml:space="preserve"> zákona </w:t>
      </w:r>
      <w:r w:rsidR="00A94BB6">
        <w:t>o státním rozpočtu na rok 201</w:t>
      </w:r>
      <w:r w:rsidR="00F71DD7">
        <w:t>5</w:t>
      </w:r>
      <w:r w:rsidR="00DB2929">
        <w:t xml:space="preserve"> </w:t>
      </w:r>
      <w:r w:rsidR="00FC2AB7">
        <w:t xml:space="preserve">a může </w:t>
      </w:r>
      <w:r w:rsidR="00025694">
        <w:t xml:space="preserve">být </w:t>
      </w:r>
      <w:r w:rsidR="00FC2AB7">
        <w:t>ještě upřesněna</w:t>
      </w:r>
      <w:r w:rsidR="006F3A18">
        <w:t xml:space="preserve"> oznámením Krajského úřadu Plzeňského kraje</w:t>
      </w:r>
      <w:r w:rsidR="00FC2AB7">
        <w:t>.</w:t>
      </w:r>
    </w:p>
    <w:p w:rsidR="0099509C" w:rsidRDefault="0099509C" w:rsidP="00C14B08">
      <w:pPr>
        <w:pStyle w:val="vlevo"/>
      </w:pPr>
    </w:p>
    <w:p w:rsidR="00B60F1E" w:rsidRDefault="00C14B08" w:rsidP="00C14B08">
      <w:pPr>
        <w:pStyle w:val="vlevo"/>
      </w:pPr>
      <w:r>
        <w:t>Bilance rozpočtu města jako celku vychází z dílčích návrhů rozpočtů (rozpočtu celoměstských orgánů – MMP a rozpočtů jednotlivých městských obvodů – MO).</w:t>
      </w:r>
    </w:p>
    <w:p w:rsidR="00C14B08" w:rsidRDefault="00C14B08" w:rsidP="00C14B08">
      <w:pPr>
        <w:pStyle w:val="vlevo"/>
      </w:pPr>
      <w:r>
        <w:t xml:space="preserve">Rozpočty jednotlivých městských obvodů vychází z finančního vztahu rozpočtu města k rozpočtům městských obvodů (dále jen finanční vztah), který tvoří v souladu se </w:t>
      </w:r>
      <w:r w:rsidR="005A3CC1">
        <w:t xml:space="preserve">Statutem města v platném </w:t>
      </w:r>
      <w:r>
        <w:t xml:space="preserve">znění procentní podíl na </w:t>
      </w:r>
      <w:r w:rsidR="005A3CC1">
        <w:t xml:space="preserve">celkových příjmech z cizích daní, </w:t>
      </w:r>
      <w:r w:rsidR="00F71DD7">
        <w:t>kompenzace</w:t>
      </w:r>
      <w:r w:rsidR="00F71DD7" w:rsidRPr="00F71DD7">
        <w:t xml:space="preserve"> podílu na příjmech z odvodu z loterií a jiných podobných her</w:t>
      </w:r>
      <w:r>
        <w:t xml:space="preserve"> a podíl příspěvk</w:t>
      </w:r>
      <w:r w:rsidR="003B0343">
        <w:t>u na výkon státní správy</w:t>
      </w:r>
      <w:r>
        <w:t>.</w:t>
      </w:r>
      <w:r w:rsidR="003B0343">
        <w:t xml:space="preserve"> </w:t>
      </w:r>
      <w:r>
        <w:t>Finanční vztah pro rok 201</w:t>
      </w:r>
      <w:r w:rsidR="00F71DD7">
        <w:t>5</w:t>
      </w:r>
      <w:r>
        <w:t xml:space="preserve"> včetně rozpočtového výhledu byl schválen usnesením ZMP</w:t>
      </w:r>
      <w:r w:rsidR="003B0343">
        <w:t xml:space="preserve"> </w:t>
      </w:r>
      <w:r>
        <w:t xml:space="preserve">č. </w:t>
      </w:r>
      <w:r w:rsidR="00F71DD7">
        <w:t>295</w:t>
      </w:r>
      <w:r w:rsidR="003B0343">
        <w:t xml:space="preserve"> ze dne </w:t>
      </w:r>
      <w:r w:rsidR="00F71DD7">
        <w:t>12</w:t>
      </w:r>
      <w:r>
        <w:t>.</w:t>
      </w:r>
      <w:r w:rsidR="003B0343">
        <w:t xml:space="preserve"> </w:t>
      </w:r>
      <w:r w:rsidR="00F71DD7">
        <w:t>6</w:t>
      </w:r>
      <w:r>
        <w:t>.</w:t>
      </w:r>
      <w:r w:rsidR="003B0343">
        <w:t xml:space="preserve"> </w:t>
      </w:r>
      <w:r>
        <w:t>201</w:t>
      </w:r>
      <w:r w:rsidR="00F71DD7">
        <w:t>4</w:t>
      </w:r>
      <w:r w:rsidR="00EA2909">
        <w:t>. Vzhledem k tomu, že v průběhu procesu sestavování</w:t>
      </w:r>
      <w:r w:rsidR="00F71DD7">
        <w:t xml:space="preserve"> rozpočtu na rok 2015 a</w:t>
      </w:r>
      <w:r w:rsidR="00EA2909">
        <w:t xml:space="preserve"> rozpočtového výhledu města v letech 201</w:t>
      </w:r>
      <w:r w:rsidR="00F71DD7">
        <w:t>6</w:t>
      </w:r>
      <w:r w:rsidR="00EA2909">
        <w:t xml:space="preserve"> </w:t>
      </w:r>
      <w:r w:rsidR="00F71DD7">
        <w:t>-</w:t>
      </w:r>
      <w:r w:rsidR="00EA2909">
        <w:t xml:space="preserve"> 201</w:t>
      </w:r>
      <w:r w:rsidR="00F71DD7">
        <w:t>8</w:t>
      </w:r>
      <w:r w:rsidR="00EA2909">
        <w:t xml:space="preserve"> </w:t>
      </w:r>
      <w:r w:rsidR="006F3A18">
        <w:t xml:space="preserve">byla na základě vývoje v roce 2014 upravena výše </w:t>
      </w:r>
      <w:r w:rsidR="00EA2909">
        <w:t>příjm</w:t>
      </w:r>
      <w:r w:rsidR="00F71DD7">
        <w:t>ů z cizích daní</w:t>
      </w:r>
      <w:r w:rsidR="00EA2909">
        <w:t>, je v rámci bodu II/</w:t>
      </w:r>
      <w:r w:rsidR="00EF786E">
        <w:t>9</w:t>
      </w:r>
      <w:r w:rsidR="00EA2909">
        <w:t xml:space="preserve"> tohoto usnesení</w:t>
      </w:r>
      <w:r w:rsidR="003B0343">
        <w:t xml:space="preserve"> </w:t>
      </w:r>
      <w:r w:rsidR="00E55371">
        <w:t>zapracována úprava</w:t>
      </w:r>
      <w:r w:rsidR="00EA2909">
        <w:t xml:space="preserve"> finančního vztahu v předmětných </w:t>
      </w:r>
      <w:r w:rsidR="006F3A18">
        <w:t>rozpočtových</w:t>
      </w:r>
      <w:r w:rsidR="00EA2909">
        <w:t xml:space="preserve"> letech </w:t>
      </w:r>
      <w:r w:rsidR="003B0343">
        <w:t>(</w:t>
      </w:r>
      <w:r w:rsidR="00EA2909">
        <w:t xml:space="preserve">kompletní finanční vztah </w:t>
      </w:r>
      <w:r w:rsidR="003B0343">
        <w:t>str. 5</w:t>
      </w:r>
      <w:r w:rsidR="00DB2929">
        <w:t xml:space="preserve"> - 7</w:t>
      </w:r>
      <w:r w:rsidR="003B0343">
        <w:t>, přílohy č. 1 tohoto usnesení</w:t>
      </w:r>
      <w:r w:rsidR="00DB2929">
        <w:t>)</w:t>
      </w:r>
      <w:r>
        <w:t xml:space="preserve">. </w:t>
      </w:r>
      <w:r w:rsidR="008D7966">
        <w:t xml:space="preserve">Městské obvody </w:t>
      </w:r>
      <w:r w:rsidR="00EF786E">
        <w:t xml:space="preserve">byly o úpravě informovány dopisem a zapracovaly takto upravený finanční vztah do svých </w:t>
      </w:r>
      <w:r w:rsidR="00F71DD7">
        <w:t xml:space="preserve">rozpočtů </w:t>
      </w:r>
      <w:r w:rsidR="00F71DD7">
        <w:lastRenderedPageBreak/>
        <w:t xml:space="preserve">a </w:t>
      </w:r>
      <w:r w:rsidR="00EF786E">
        <w:t xml:space="preserve">rozpočtových výhledů ještě </w:t>
      </w:r>
      <w:r w:rsidR="008D7966">
        <w:t>před projednávání</w:t>
      </w:r>
      <w:r w:rsidR="00F71DD7">
        <w:t>m</w:t>
      </w:r>
      <w:r w:rsidR="008D7966">
        <w:t xml:space="preserve"> rozpočtu města v zastupitelstvu města</w:t>
      </w:r>
      <w:r w:rsidR="00420E84">
        <w:t xml:space="preserve"> tak, aby byla zajištěna</w:t>
      </w:r>
      <w:r w:rsidR="008D7966">
        <w:t xml:space="preserve"> vyrovnanost rozpočtové bilance města</w:t>
      </w:r>
      <w:r w:rsidR="00EF786E">
        <w:t xml:space="preserve"> jak celku</w:t>
      </w:r>
      <w:r w:rsidR="008D7966">
        <w:t>.</w:t>
      </w:r>
    </w:p>
    <w:p w:rsidR="0099509C" w:rsidRDefault="0099509C" w:rsidP="00C14B08">
      <w:pPr>
        <w:pStyle w:val="vlevo"/>
      </w:pPr>
    </w:p>
    <w:p w:rsidR="00025694" w:rsidRDefault="00025694" w:rsidP="00C14B08">
      <w:pPr>
        <w:pStyle w:val="vlev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709"/>
        <w:gridCol w:w="1709"/>
        <w:gridCol w:w="1709"/>
        <w:gridCol w:w="1709"/>
      </w:tblGrid>
      <w:tr w:rsidR="00A96A66" w:rsidTr="00A96A66">
        <w:tc>
          <w:tcPr>
            <w:tcW w:w="2376" w:type="dxa"/>
          </w:tcPr>
          <w:p w:rsidR="00A96A66" w:rsidRPr="0099509C" w:rsidRDefault="00A96A66" w:rsidP="0043281F">
            <w:pPr>
              <w:pStyle w:val="vlevo"/>
              <w:rPr>
                <w:b/>
              </w:rPr>
            </w:pPr>
            <w:r w:rsidRPr="0099509C">
              <w:rPr>
                <w:b/>
              </w:rPr>
              <w:t xml:space="preserve">MO 1 – 10 </w:t>
            </w:r>
            <w:r w:rsidR="0043281F" w:rsidRPr="0099509C">
              <w:rPr>
                <w:b/>
              </w:rPr>
              <w:t>podíl na příjmech z daní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F71DD7">
            <w:pPr>
              <w:pStyle w:val="vlevo"/>
              <w:jc w:val="center"/>
              <w:rPr>
                <w:b/>
              </w:rPr>
            </w:pPr>
            <w:r w:rsidRPr="0099509C">
              <w:rPr>
                <w:b/>
              </w:rPr>
              <w:t>201</w:t>
            </w:r>
            <w:r w:rsidR="00F71DD7">
              <w:rPr>
                <w:b/>
              </w:rPr>
              <w:t>5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F71DD7">
            <w:pPr>
              <w:pStyle w:val="vlevo"/>
              <w:jc w:val="center"/>
              <w:rPr>
                <w:b/>
              </w:rPr>
            </w:pPr>
            <w:r w:rsidRPr="0099509C">
              <w:rPr>
                <w:b/>
              </w:rPr>
              <w:t>201</w:t>
            </w:r>
            <w:r w:rsidR="00F71DD7">
              <w:rPr>
                <w:b/>
              </w:rPr>
              <w:t>6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F71DD7">
            <w:pPr>
              <w:pStyle w:val="vlevo"/>
              <w:jc w:val="center"/>
              <w:rPr>
                <w:b/>
              </w:rPr>
            </w:pPr>
            <w:r w:rsidRPr="0099509C">
              <w:rPr>
                <w:b/>
              </w:rPr>
              <w:t>201</w:t>
            </w:r>
            <w:r w:rsidR="00F71DD7">
              <w:rPr>
                <w:b/>
              </w:rPr>
              <w:t>7</w:t>
            </w:r>
          </w:p>
        </w:tc>
        <w:tc>
          <w:tcPr>
            <w:tcW w:w="1709" w:type="dxa"/>
            <w:vAlign w:val="center"/>
          </w:tcPr>
          <w:p w:rsidR="00A96A66" w:rsidRPr="0099509C" w:rsidRDefault="00A96A66" w:rsidP="00F71DD7">
            <w:pPr>
              <w:pStyle w:val="vlevo"/>
              <w:jc w:val="center"/>
              <w:rPr>
                <w:b/>
              </w:rPr>
            </w:pPr>
            <w:r w:rsidRPr="0099509C">
              <w:rPr>
                <w:b/>
              </w:rPr>
              <w:t>201</w:t>
            </w:r>
            <w:r w:rsidR="00F71DD7">
              <w:rPr>
                <w:b/>
              </w:rPr>
              <w:t>8</w:t>
            </w:r>
          </w:p>
        </w:tc>
      </w:tr>
      <w:tr w:rsidR="00A96A66" w:rsidTr="0043281F">
        <w:tc>
          <w:tcPr>
            <w:tcW w:w="2376" w:type="dxa"/>
          </w:tcPr>
          <w:p w:rsidR="00A96A66" w:rsidRDefault="00A96A66" w:rsidP="00F71DD7">
            <w:pPr>
              <w:pStyle w:val="vlevo"/>
            </w:pPr>
            <w:r>
              <w:t xml:space="preserve">ZMP č. </w:t>
            </w:r>
            <w:r w:rsidR="00F71DD7">
              <w:t>295 ze dne 12</w:t>
            </w:r>
            <w:r>
              <w:t>.</w:t>
            </w:r>
            <w:r w:rsidR="00F71DD7">
              <w:t xml:space="preserve"> 6</w:t>
            </w:r>
            <w:r>
              <w:t>.</w:t>
            </w:r>
            <w:r w:rsidR="00F71DD7">
              <w:t xml:space="preserve"> </w:t>
            </w:r>
            <w:r>
              <w:t>201</w:t>
            </w:r>
            <w:r w:rsidR="00F71DD7">
              <w:t>4</w:t>
            </w:r>
          </w:p>
        </w:tc>
        <w:tc>
          <w:tcPr>
            <w:tcW w:w="1709" w:type="dxa"/>
            <w:vAlign w:val="center"/>
          </w:tcPr>
          <w:p w:rsidR="00A96A66" w:rsidRDefault="00F71DD7" w:rsidP="0043281F">
            <w:pPr>
              <w:pStyle w:val="vlevo"/>
              <w:jc w:val="center"/>
            </w:pPr>
            <w:r>
              <w:t>371 272</w:t>
            </w:r>
          </w:p>
        </w:tc>
        <w:tc>
          <w:tcPr>
            <w:tcW w:w="1709" w:type="dxa"/>
            <w:vAlign w:val="center"/>
          </w:tcPr>
          <w:p w:rsidR="00A96A66" w:rsidRDefault="00F71DD7" w:rsidP="00F71DD7">
            <w:pPr>
              <w:pStyle w:val="vlevo"/>
              <w:jc w:val="center"/>
            </w:pPr>
            <w:r>
              <w:t>349</w:t>
            </w:r>
            <w:r w:rsidR="00A96A66">
              <w:t xml:space="preserve"> </w:t>
            </w:r>
            <w:r>
              <w:t>543</w:t>
            </w:r>
          </w:p>
        </w:tc>
        <w:tc>
          <w:tcPr>
            <w:tcW w:w="1709" w:type="dxa"/>
            <w:vAlign w:val="center"/>
          </w:tcPr>
          <w:p w:rsidR="00A96A66" w:rsidRDefault="00F71DD7" w:rsidP="00F71DD7">
            <w:pPr>
              <w:pStyle w:val="vlevo"/>
              <w:jc w:val="center"/>
            </w:pPr>
            <w:r>
              <w:t>353</w:t>
            </w:r>
            <w:r w:rsidR="00A96A66">
              <w:t xml:space="preserve"> </w:t>
            </w:r>
            <w:r>
              <w:t>070</w:t>
            </w:r>
          </w:p>
        </w:tc>
        <w:tc>
          <w:tcPr>
            <w:tcW w:w="1709" w:type="dxa"/>
            <w:vAlign w:val="center"/>
          </w:tcPr>
          <w:p w:rsidR="00A96A66" w:rsidRDefault="00F71DD7" w:rsidP="00F71DD7">
            <w:pPr>
              <w:pStyle w:val="vlevo"/>
              <w:jc w:val="center"/>
            </w:pPr>
            <w:r>
              <w:t>356</w:t>
            </w:r>
            <w:r w:rsidR="0043281F">
              <w:t xml:space="preserve"> </w:t>
            </w:r>
            <w:r>
              <w:t>585</w:t>
            </w:r>
          </w:p>
        </w:tc>
      </w:tr>
      <w:tr w:rsidR="0043281F" w:rsidTr="000F2A56">
        <w:tc>
          <w:tcPr>
            <w:tcW w:w="2376" w:type="dxa"/>
          </w:tcPr>
          <w:p w:rsidR="0043281F" w:rsidRDefault="00420E84" w:rsidP="00C14B08">
            <w:pPr>
              <w:pStyle w:val="vlevo"/>
            </w:pPr>
            <w:r>
              <w:t>Po úpravě</w:t>
            </w:r>
          </w:p>
        </w:tc>
        <w:tc>
          <w:tcPr>
            <w:tcW w:w="1709" w:type="dxa"/>
            <w:vAlign w:val="center"/>
          </w:tcPr>
          <w:p w:rsidR="0043281F" w:rsidRDefault="00F71DD7" w:rsidP="00BA3121">
            <w:pPr>
              <w:pStyle w:val="vlevo"/>
              <w:jc w:val="center"/>
            </w:pPr>
            <w:r>
              <w:t>380 58</w:t>
            </w:r>
            <w:r w:rsidR="00BA3121">
              <w:t>9</w:t>
            </w:r>
          </w:p>
        </w:tc>
        <w:tc>
          <w:tcPr>
            <w:tcW w:w="1709" w:type="dxa"/>
            <w:vAlign w:val="center"/>
          </w:tcPr>
          <w:p w:rsidR="0043281F" w:rsidRDefault="00F71DD7" w:rsidP="00FA1972">
            <w:pPr>
              <w:pStyle w:val="vlevo"/>
              <w:jc w:val="center"/>
            </w:pPr>
            <w:r>
              <w:t>360 344</w:t>
            </w:r>
          </w:p>
        </w:tc>
        <w:tc>
          <w:tcPr>
            <w:tcW w:w="1709" w:type="dxa"/>
            <w:vAlign w:val="center"/>
          </w:tcPr>
          <w:p w:rsidR="0043281F" w:rsidRDefault="00F71DD7" w:rsidP="00BA3121">
            <w:pPr>
              <w:pStyle w:val="vlevo"/>
              <w:jc w:val="center"/>
            </w:pPr>
            <w:r>
              <w:t>366 40</w:t>
            </w:r>
            <w:r w:rsidR="00BA3121">
              <w:t>6</w:t>
            </w:r>
          </w:p>
        </w:tc>
        <w:tc>
          <w:tcPr>
            <w:tcW w:w="1709" w:type="dxa"/>
            <w:vAlign w:val="center"/>
          </w:tcPr>
          <w:p w:rsidR="0043281F" w:rsidRDefault="00F71DD7" w:rsidP="00BA3121">
            <w:pPr>
              <w:pStyle w:val="vlevo"/>
              <w:jc w:val="center"/>
            </w:pPr>
            <w:r>
              <w:t>372 46</w:t>
            </w:r>
            <w:r w:rsidR="00BA3121">
              <w:t>5</w:t>
            </w:r>
          </w:p>
        </w:tc>
      </w:tr>
      <w:tr w:rsidR="0043281F" w:rsidTr="000F2A56">
        <w:tc>
          <w:tcPr>
            <w:tcW w:w="2376" w:type="dxa"/>
          </w:tcPr>
          <w:p w:rsidR="0043281F" w:rsidRDefault="0043281F" w:rsidP="00C14B08">
            <w:pPr>
              <w:pStyle w:val="vlevo"/>
            </w:pPr>
            <w:r>
              <w:t>Rozdíl</w:t>
            </w:r>
          </w:p>
        </w:tc>
        <w:tc>
          <w:tcPr>
            <w:tcW w:w="1709" w:type="dxa"/>
            <w:vAlign w:val="center"/>
          </w:tcPr>
          <w:p w:rsidR="0043281F" w:rsidRDefault="00F71DD7" w:rsidP="00BA3121">
            <w:pPr>
              <w:pStyle w:val="vlevo"/>
              <w:jc w:val="center"/>
            </w:pPr>
            <w:r>
              <w:t>9 31</w:t>
            </w:r>
            <w:r w:rsidR="00BA3121">
              <w:t>7</w:t>
            </w:r>
          </w:p>
        </w:tc>
        <w:tc>
          <w:tcPr>
            <w:tcW w:w="1709" w:type="dxa"/>
            <w:vAlign w:val="center"/>
          </w:tcPr>
          <w:p w:rsidR="0043281F" w:rsidRDefault="00F71DD7" w:rsidP="00FA1972">
            <w:pPr>
              <w:pStyle w:val="vlevo"/>
              <w:jc w:val="center"/>
            </w:pPr>
            <w:r>
              <w:t>10 801</w:t>
            </w:r>
          </w:p>
        </w:tc>
        <w:tc>
          <w:tcPr>
            <w:tcW w:w="1709" w:type="dxa"/>
            <w:vAlign w:val="center"/>
          </w:tcPr>
          <w:p w:rsidR="0043281F" w:rsidRDefault="00F71DD7" w:rsidP="00BA3121">
            <w:pPr>
              <w:pStyle w:val="vlevo"/>
              <w:jc w:val="center"/>
            </w:pPr>
            <w:r>
              <w:t>13 33</w:t>
            </w:r>
            <w:r w:rsidR="00BA3121">
              <w:t>6</w:t>
            </w:r>
          </w:p>
        </w:tc>
        <w:tc>
          <w:tcPr>
            <w:tcW w:w="1709" w:type="dxa"/>
            <w:vAlign w:val="center"/>
          </w:tcPr>
          <w:p w:rsidR="0043281F" w:rsidRDefault="00F71DD7" w:rsidP="00BA3121">
            <w:pPr>
              <w:pStyle w:val="vlevo"/>
              <w:jc w:val="center"/>
            </w:pPr>
            <w:r>
              <w:t>15 88</w:t>
            </w:r>
            <w:r w:rsidR="00BA3121">
              <w:t>0</w:t>
            </w:r>
          </w:p>
        </w:tc>
      </w:tr>
    </w:tbl>
    <w:p w:rsidR="00420E84" w:rsidRDefault="00420E84" w:rsidP="00DB2929">
      <w:pPr>
        <w:pStyle w:val="vlevo"/>
      </w:pPr>
    </w:p>
    <w:p w:rsidR="00DB2929" w:rsidRDefault="00A15DEA" w:rsidP="00DB2929">
      <w:pPr>
        <w:pStyle w:val="vlevo"/>
      </w:pPr>
      <w:r w:rsidRPr="00A111BF">
        <w:t>Rozpočet MMP na rok 201</w:t>
      </w:r>
      <w:r w:rsidR="00572C98">
        <w:t>5</w:t>
      </w:r>
      <w:r w:rsidRPr="00A111BF">
        <w:t xml:space="preserve"> byl sestavován v souladu se Zásadami pro sestavení rozpočtu města Plzně na rok 201</w:t>
      </w:r>
      <w:r w:rsidR="00572C98">
        <w:t>5</w:t>
      </w:r>
      <w:r w:rsidRPr="00A111BF">
        <w:t xml:space="preserve"> schválen</w:t>
      </w:r>
      <w:r w:rsidR="00DB2929">
        <w:t>ými</w:t>
      </w:r>
      <w:r w:rsidRPr="00A111BF">
        <w:t xml:space="preserve"> usnesením RMP č. </w:t>
      </w:r>
      <w:r w:rsidR="00572C98">
        <w:t>705</w:t>
      </w:r>
      <w:r w:rsidR="00B60F1E">
        <w:t xml:space="preserve"> </w:t>
      </w:r>
      <w:r w:rsidRPr="00A111BF">
        <w:t xml:space="preserve">ze dne </w:t>
      </w:r>
      <w:r w:rsidR="00572C98">
        <w:t>19</w:t>
      </w:r>
      <w:r w:rsidRPr="00A111BF">
        <w:t>.</w:t>
      </w:r>
      <w:r w:rsidR="009E3664">
        <w:t xml:space="preserve"> </w:t>
      </w:r>
      <w:r w:rsidRPr="00A111BF">
        <w:t>6.</w:t>
      </w:r>
      <w:r w:rsidR="009E3664">
        <w:t xml:space="preserve"> </w:t>
      </w:r>
      <w:r w:rsidRPr="00A111BF">
        <w:t>20</w:t>
      </w:r>
      <w:r>
        <w:t>1</w:t>
      </w:r>
      <w:r w:rsidR="00572C98">
        <w:t>4</w:t>
      </w:r>
      <w:r w:rsidRPr="00A111BF">
        <w:t>. Návrh rozpočtu MMP zpracovaný prvotně příslušně odvětvovými odbory (správci rozpočtu) byl následně konzultován s EÚ MMP, kde jednotlivé návrhy byly porovnávány s posledním rozpočtovým výh</w:t>
      </w:r>
      <w:r w:rsidR="00E55371">
        <w:t xml:space="preserve">ledem schváleným usnesením ZMP č. </w:t>
      </w:r>
      <w:r w:rsidR="00D851D1">
        <w:t>613</w:t>
      </w:r>
      <w:r>
        <w:t xml:space="preserve"> </w:t>
      </w:r>
      <w:r w:rsidRPr="00A111BF">
        <w:t xml:space="preserve">ze dne </w:t>
      </w:r>
      <w:r w:rsidR="00D851D1">
        <w:t>12</w:t>
      </w:r>
      <w:r>
        <w:t>.</w:t>
      </w:r>
      <w:r w:rsidR="009E3664">
        <w:t xml:space="preserve"> </w:t>
      </w:r>
      <w:r w:rsidR="00D851D1">
        <w:t>12</w:t>
      </w:r>
      <w:r>
        <w:t>.</w:t>
      </w:r>
      <w:r w:rsidR="009E3664">
        <w:t xml:space="preserve"> </w:t>
      </w:r>
      <w:r>
        <w:t>201</w:t>
      </w:r>
      <w:r w:rsidR="00D851D1">
        <w:t>3</w:t>
      </w:r>
      <w:r w:rsidR="00DB2929">
        <w:t xml:space="preserve"> při </w:t>
      </w:r>
      <w:r w:rsidR="00EA2909">
        <w:t>schvalování rozpočtu na rok 201</w:t>
      </w:r>
      <w:r w:rsidR="00075596">
        <w:t>4</w:t>
      </w:r>
      <w:r w:rsidR="00DB2929">
        <w:t xml:space="preserve"> po úpravě schválené usnesením </w:t>
      </w:r>
      <w:r>
        <w:t xml:space="preserve">ZMP </w:t>
      </w:r>
      <w:r w:rsidRPr="008D7966">
        <w:t xml:space="preserve">č. </w:t>
      </w:r>
      <w:r w:rsidR="00D851D1">
        <w:t>295</w:t>
      </w:r>
      <w:r w:rsidR="00DB2929" w:rsidRPr="008D7966">
        <w:t xml:space="preserve"> ze dne</w:t>
      </w:r>
      <w:r w:rsidR="008D7966" w:rsidRPr="008D7966">
        <w:t xml:space="preserve"> </w:t>
      </w:r>
      <w:r w:rsidR="00D851D1">
        <w:t>12</w:t>
      </w:r>
      <w:r w:rsidR="008D7966" w:rsidRPr="008D7966">
        <w:t>.</w:t>
      </w:r>
      <w:r w:rsidR="00AF33F4">
        <w:t xml:space="preserve"> </w:t>
      </w:r>
      <w:r w:rsidR="00D851D1">
        <w:t>6</w:t>
      </w:r>
      <w:r w:rsidR="008D7966" w:rsidRPr="008D7966">
        <w:t>.</w:t>
      </w:r>
      <w:r w:rsidR="00AF33F4">
        <w:t xml:space="preserve"> </w:t>
      </w:r>
      <w:r w:rsidR="008D7966" w:rsidRPr="008D7966">
        <w:t>201</w:t>
      </w:r>
      <w:r w:rsidR="00D851D1">
        <w:t>4</w:t>
      </w:r>
      <w:r w:rsidR="00DB2929" w:rsidRPr="008D7966">
        <w:t>,</w:t>
      </w:r>
      <w:r w:rsidR="00DB2929">
        <w:t xml:space="preserve"> </w:t>
      </w:r>
      <w:r w:rsidR="00DB2929" w:rsidRPr="00A111BF">
        <w:t>dále pak se skutečným plněním rozpočtu minulých dvou let, s rozpočtem na rok 20</w:t>
      </w:r>
      <w:r w:rsidR="00EA2909">
        <w:t>1</w:t>
      </w:r>
      <w:r w:rsidR="00D851D1">
        <w:t>4</w:t>
      </w:r>
      <w:r w:rsidR="00DB2929" w:rsidRPr="00A111BF">
        <w:t xml:space="preserve"> a očekávaným plněním rozpočtu za rok 20</w:t>
      </w:r>
      <w:r w:rsidR="00DB2929">
        <w:t>1</w:t>
      </w:r>
      <w:r w:rsidR="00D851D1">
        <w:t>4</w:t>
      </w:r>
      <w:r w:rsidR="00AA7953">
        <w:t>.</w:t>
      </w:r>
    </w:p>
    <w:p w:rsidR="00DB2929" w:rsidRDefault="00DB2929" w:rsidP="00A15DEA">
      <w:pPr>
        <w:pStyle w:val="vlevo"/>
      </w:pPr>
    </w:p>
    <w:p w:rsidR="00A15DEA" w:rsidRDefault="00A15DEA" w:rsidP="00A15DEA">
      <w:pPr>
        <w:pStyle w:val="vlevo"/>
      </w:pPr>
      <w:r w:rsidRPr="00AA7953">
        <w:t>Další komentář k jednotlivým parametrům rozpočtu</w:t>
      </w:r>
      <w:r w:rsidR="00A94BB6" w:rsidRPr="00AA7953">
        <w:t>, rozpočtového výhledu a dlouhodobého finančního plánu</w:t>
      </w:r>
      <w:r w:rsidRPr="00AA7953">
        <w:t xml:space="preserve"> je součástí materiálu o rozpočtu města na rok 201</w:t>
      </w:r>
      <w:r w:rsidR="00D851D1">
        <w:t>5</w:t>
      </w:r>
      <w:r w:rsidRPr="00AA7953">
        <w:t xml:space="preserve"> (Příloha č. 1</w:t>
      </w:r>
      <w:r w:rsidR="00A94BB6" w:rsidRPr="00AA7953">
        <w:t xml:space="preserve"> tohoto usnesení</w:t>
      </w:r>
      <w:r w:rsidRPr="00AA7953">
        <w:t>).</w:t>
      </w:r>
    </w:p>
    <w:p w:rsidR="00FB05F1" w:rsidRPr="00FB05F1" w:rsidRDefault="00FB05F1" w:rsidP="00FB05F1">
      <w:pPr>
        <w:jc w:val="both"/>
        <w:rPr>
          <w:u w:val="single"/>
        </w:rPr>
      </w:pPr>
    </w:p>
    <w:p w:rsidR="00A111BF" w:rsidRDefault="00A111BF">
      <w:pPr>
        <w:pStyle w:val="ostzahl"/>
        <w:numPr>
          <w:ilvl w:val="0"/>
          <w:numId w:val="0"/>
        </w:numPr>
      </w:pPr>
      <w:r>
        <w:t>3. Předpokládaný cílový stav</w:t>
      </w:r>
    </w:p>
    <w:p w:rsidR="00A111BF" w:rsidRDefault="00A111BF" w:rsidP="00CD0343">
      <w:pPr>
        <w:pStyle w:val="vlevo"/>
      </w:pPr>
      <w:r>
        <w:t>Schválit rozpočet na rok 20</w:t>
      </w:r>
      <w:r w:rsidR="009801D1">
        <w:t>1</w:t>
      </w:r>
      <w:r w:rsidR="00D851D1">
        <w:t>5</w:t>
      </w:r>
      <w:r>
        <w:t xml:space="preserve"> včetn</w:t>
      </w:r>
      <w:r w:rsidR="00A95CBC">
        <w:t>ě rozpočtového výhledu sestavený</w:t>
      </w:r>
      <w:r>
        <w:t>m na roky 201</w:t>
      </w:r>
      <w:r w:rsidR="00D851D1">
        <w:t xml:space="preserve">6 </w:t>
      </w:r>
      <w:r>
        <w:t>-</w:t>
      </w:r>
      <w:r w:rsidR="00D851D1">
        <w:t xml:space="preserve"> </w:t>
      </w:r>
      <w:r>
        <w:t>201</w:t>
      </w:r>
      <w:r w:rsidR="00D851D1">
        <w:t>8</w:t>
      </w:r>
      <w:r>
        <w:t>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Navrhované varianty řešení</w:t>
      </w:r>
    </w:p>
    <w:p w:rsidR="00A111BF" w:rsidRDefault="00A111BF" w:rsidP="00CD0343">
      <w:pPr>
        <w:pStyle w:val="vlevo"/>
      </w:pPr>
      <w:r>
        <w:t>Navrhovaná varianta je jediná.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Doporučená varianta řešení</w:t>
      </w:r>
    </w:p>
    <w:p w:rsidR="00A111BF" w:rsidRDefault="00A95CBC" w:rsidP="00CD0343">
      <w:pPr>
        <w:pStyle w:val="vlevo"/>
      </w:pPr>
      <w:r>
        <w:t xml:space="preserve">Dle bodu II </w:t>
      </w:r>
      <w:r w:rsidR="00A111BF">
        <w:t>návrhu usnesení.</w:t>
      </w:r>
    </w:p>
    <w:p w:rsidR="00AF33F4" w:rsidRDefault="00AF33F4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Finanční nároky řešení a možnosti finančního krytí</w:t>
      </w:r>
    </w:p>
    <w:p w:rsidR="00A111BF" w:rsidRDefault="00A111BF" w:rsidP="00CD0343">
      <w:pPr>
        <w:pStyle w:val="vlevo"/>
      </w:pPr>
      <w:r>
        <w:t>Nejsou.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</w:pPr>
      <w:r>
        <w:t>Návrh termínů realizace a určení zodpovědných pracovníků</w:t>
      </w:r>
    </w:p>
    <w:p w:rsidR="00D02C05" w:rsidRDefault="00A111BF" w:rsidP="00CD0343">
      <w:pPr>
        <w:pStyle w:val="vlevo"/>
      </w:pPr>
      <w:r>
        <w:t xml:space="preserve">Dle bodu </w:t>
      </w:r>
      <w:r w:rsidR="00075596">
        <w:t>I</w:t>
      </w:r>
      <w:r w:rsidR="00A95CBC">
        <w:t>V</w:t>
      </w:r>
      <w:r>
        <w:t xml:space="preserve"> návrhu usnesení.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</w:pPr>
      <w:r>
        <w:t>Dříve přijatá usnesení orgánů města nebo městských obvodů, která s tímto návrhem souvisejí</w:t>
      </w:r>
    </w:p>
    <w:p w:rsidR="005522B5" w:rsidRDefault="005522B5" w:rsidP="00CD0343">
      <w:pPr>
        <w:pStyle w:val="vlevo"/>
      </w:pPr>
      <w:r>
        <w:t xml:space="preserve">ZMP č. </w:t>
      </w:r>
      <w:r w:rsidR="00D851D1">
        <w:t>295</w:t>
      </w:r>
      <w:r w:rsidR="002C5703">
        <w:t xml:space="preserve"> ze dne </w:t>
      </w:r>
      <w:r w:rsidR="00D851D1">
        <w:t>12</w:t>
      </w:r>
      <w:r w:rsidR="00144DE6">
        <w:t>.</w:t>
      </w:r>
      <w:r w:rsidR="00C16E00">
        <w:t xml:space="preserve"> </w:t>
      </w:r>
      <w:r w:rsidR="00D851D1">
        <w:t>6.</w:t>
      </w:r>
      <w:r w:rsidR="00C16E00">
        <w:t xml:space="preserve"> </w:t>
      </w:r>
      <w:r w:rsidR="00144DE6">
        <w:t>201</w:t>
      </w:r>
      <w:r w:rsidR="00D851D1">
        <w:t>4</w:t>
      </w:r>
    </w:p>
    <w:p w:rsidR="00A111BF" w:rsidRDefault="00A111BF" w:rsidP="00CD0343">
      <w:pPr>
        <w:pStyle w:val="vlevo"/>
      </w:pPr>
      <w:r>
        <w:t xml:space="preserve">RMP č. </w:t>
      </w:r>
      <w:r w:rsidR="00D851D1">
        <w:t>705</w:t>
      </w:r>
      <w:r>
        <w:t xml:space="preserve"> ze dne </w:t>
      </w:r>
      <w:r w:rsidR="00D851D1">
        <w:t>19</w:t>
      </w:r>
      <w:r w:rsidR="009F42FD">
        <w:t>.</w:t>
      </w:r>
      <w:r w:rsidR="00C16E00">
        <w:t xml:space="preserve"> </w:t>
      </w:r>
      <w:r w:rsidR="009F42FD">
        <w:t>6.</w:t>
      </w:r>
      <w:r w:rsidR="00C16E00">
        <w:t xml:space="preserve"> </w:t>
      </w:r>
      <w:r w:rsidR="009F42FD">
        <w:t>201</w:t>
      </w:r>
      <w:r w:rsidR="00D851D1">
        <w:t>4</w:t>
      </w:r>
      <w:r>
        <w:t xml:space="preserve"> </w:t>
      </w:r>
    </w:p>
    <w:p w:rsidR="00E86A37" w:rsidRDefault="00E86A37" w:rsidP="00CD0343">
      <w:pPr>
        <w:pStyle w:val="vlevo"/>
      </w:pPr>
      <w:r>
        <w:t xml:space="preserve">RMP č. </w:t>
      </w:r>
      <w:proofErr w:type="gramStart"/>
      <w:r>
        <w:t>1254  ze</w:t>
      </w:r>
      <w:proofErr w:type="gramEnd"/>
      <w:r>
        <w:t xml:space="preserve"> dne 27. 11. 2014 </w:t>
      </w:r>
    </w:p>
    <w:p w:rsidR="00D851D1" w:rsidRDefault="00D851D1" w:rsidP="00CD0343">
      <w:pPr>
        <w:pStyle w:val="vlevo"/>
      </w:pPr>
    </w:p>
    <w:p w:rsidR="00A111BF" w:rsidRDefault="00A111BF">
      <w:pPr>
        <w:pStyle w:val="ostzahl"/>
      </w:pPr>
      <w:r>
        <w:lastRenderedPageBreak/>
        <w:t>Závazky či pohledávky vůči městu</w:t>
      </w:r>
    </w:p>
    <w:p w:rsidR="00A111BF" w:rsidRDefault="00A111BF" w:rsidP="00CD0343">
      <w:pPr>
        <w:pStyle w:val="vlevo"/>
      </w:pPr>
      <w:r>
        <w:t>Nešetří se.</w:t>
      </w:r>
    </w:p>
    <w:p w:rsidR="00D851D1" w:rsidRDefault="00D851D1" w:rsidP="00CD0343">
      <w:pPr>
        <w:pStyle w:val="vlevo"/>
      </w:pPr>
    </w:p>
    <w:p w:rsidR="00A111BF" w:rsidRDefault="00983986" w:rsidP="00983986">
      <w:pPr>
        <w:pStyle w:val="ostzahl"/>
      </w:pPr>
      <w:r>
        <w:t>Přílohy</w:t>
      </w:r>
    </w:p>
    <w:p w:rsidR="00A111BF" w:rsidRDefault="00CE2DD9" w:rsidP="00CD0343">
      <w:pPr>
        <w:pStyle w:val="vlevo"/>
      </w:pPr>
      <w:r>
        <w:t>Příloha č. 1</w:t>
      </w:r>
      <w:r>
        <w:tab/>
      </w:r>
      <w:r w:rsidR="00A111BF">
        <w:t xml:space="preserve">– </w:t>
      </w:r>
      <w:r>
        <w:tab/>
      </w:r>
      <w:r w:rsidR="00A111BF">
        <w:t>Rozpočet na rok 20</w:t>
      </w:r>
      <w:r w:rsidR="009F42FD">
        <w:t>1</w:t>
      </w:r>
      <w:r w:rsidR="00D851D1">
        <w:t>5</w:t>
      </w:r>
      <w:r w:rsidR="00A111BF">
        <w:t xml:space="preserve"> včetně rozpočtového výhledu v letech 201</w:t>
      </w:r>
      <w:r w:rsidR="00D851D1">
        <w:t xml:space="preserve">6 </w:t>
      </w:r>
      <w:r w:rsidR="00A111BF">
        <w:t>-</w:t>
      </w:r>
      <w:r w:rsidR="00D851D1">
        <w:t xml:space="preserve"> </w:t>
      </w:r>
      <w:r w:rsidR="00A111BF">
        <w:t>201</w:t>
      </w:r>
      <w:r w:rsidR="00D851D1">
        <w:t>8</w:t>
      </w:r>
    </w:p>
    <w:p w:rsidR="00D02C05" w:rsidRDefault="00D02C05" w:rsidP="002C5703">
      <w:pPr>
        <w:pStyle w:val="vlevo"/>
        <w:ind w:left="1260" w:hanging="1260"/>
      </w:pPr>
      <w:r>
        <w:t xml:space="preserve">Příloha č. </w:t>
      </w:r>
      <w:r w:rsidR="00E55371">
        <w:t>2</w:t>
      </w:r>
      <w:r>
        <w:t xml:space="preserve"> </w:t>
      </w:r>
      <w:r w:rsidR="00CE2DD9">
        <w:tab/>
      </w:r>
      <w:r>
        <w:t xml:space="preserve">– </w:t>
      </w:r>
      <w:r w:rsidR="00CE2DD9">
        <w:tab/>
      </w:r>
      <w:r w:rsidR="005D36B5">
        <w:t>Přehled</w:t>
      </w:r>
      <w:r>
        <w:t xml:space="preserve"> použití investičních fondů příspěvkových organizací města</w:t>
      </w:r>
    </w:p>
    <w:p w:rsidR="008D7966" w:rsidRDefault="008D7966" w:rsidP="008D7966">
      <w:pPr>
        <w:pStyle w:val="vlevo"/>
        <w:ind w:left="1418" w:hanging="1418"/>
      </w:pPr>
      <w:r>
        <w:t>Příloha č. 3</w:t>
      </w:r>
      <w:r>
        <w:tab/>
        <w:t>–</w:t>
      </w:r>
      <w:r>
        <w:tab/>
        <w:t>Přehled prostředků zapracovaných v návrhu rozpočtu na rok 201</w:t>
      </w:r>
      <w:r w:rsidR="00D851D1">
        <w:t xml:space="preserve">5 </w:t>
      </w:r>
      <w:r>
        <w:t>v souvislosti s projektem Plzeň – EHMK 2015</w:t>
      </w:r>
    </w:p>
    <w:p w:rsidR="008751EA" w:rsidRDefault="009C3DB7" w:rsidP="008751EA">
      <w:pPr>
        <w:pStyle w:val="vlevo"/>
        <w:ind w:left="1260" w:hanging="1260"/>
      </w:pPr>
      <w:r>
        <w:t xml:space="preserve">Příloha č. </w:t>
      </w:r>
      <w:r w:rsidR="008D7966">
        <w:t>4</w:t>
      </w:r>
      <w:r>
        <w:t xml:space="preserve"> </w:t>
      </w:r>
      <w:r w:rsidR="00CE2DD9">
        <w:tab/>
      </w:r>
      <w:r w:rsidR="00A111BF">
        <w:t xml:space="preserve">– </w:t>
      </w:r>
      <w:r>
        <w:t xml:space="preserve">Dlouhodobý finanční plán </w:t>
      </w:r>
      <w:r w:rsidR="002C5703">
        <w:t>v letech 201</w:t>
      </w:r>
      <w:r w:rsidR="00D851D1">
        <w:t>9</w:t>
      </w:r>
      <w:r w:rsidR="008751EA">
        <w:t>-202</w:t>
      </w:r>
      <w:r w:rsidR="00D7538C">
        <w:t>5</w:t>
      </w:r>
      <w:bookmarkStart w:id="0" w:name="_GoBack"/>
      <w:bookmarkEnd w:id="0"/>
      <w:r w:rsidR="008751EA">
        <w:t xml:space="preserve"> vztahující se k rozpočtu MMP</w:t>
      </w:r>
    </w:p>
    <w:p w:rsidR="009C3DB7" w:rsidRDefault="002C5703" w:rsidP="0024223C">
      <w:pPr>
        <w:pStyle w:val="vlevo"/>
        <w:ind w:left="1418" w:hanging="1418"/>
      </w:pPr>
      <w:r>
        <w:t xml:space="preserve">Příloha č. </w:t>
      </w:r>
      <w:r w:rsidR="008D7966">
        <w:t>5</w:t>
      </w:r>
      <w:r w:rsidR="00596190" w:rsidRPr="003377C3">
        <w:tab/>
        <w:t>–</w:t>
      </w:r>
      <w:r w:rsidR="00596190" w:rsidRPr="003377C3">
        <w:tab/>
      </w:r>
      <w:r w:rsidR="0024223C" w:rsidRPr="003377C3">
        <w:t xml:space="preserve">Aktualizovaný </w:t>
      </w:r>
      <w:r w:rsidR="00050EA4">
        <w:t>d</w:t>
      </w:r>
      <w:r w:rsidR="009C3DB7" w:rsidRPr="003377C3">
        <w:t xml:space="preserve">okument „Strategické záměry rozvoje města“ s vyznačením </w:t>
      </w:r>
      <w:r w:rsidR="00050EA4">
        <w:t>akcí</w:t>
      </w:r>
      <w:r w:rsidR="009C3DB7" w:rsidRPr="003377C3">
        <w:t xml:space="preserve"> zařazených v rámci návrhu </w:t>
      </w:r>
      <w:r w:rsidR="00CE2DD9" w:rsidRPr="003377C3">
        <w:tab/>
      </w:r>
      <w:r w:rsidR="009C3DB7" w:rsidRPr="003377C3">
        <w:t>rozpočtu města Plzně na rok 201</w:t>
      </w:r>
      <w:r w:rsidR="004402AA">
        <w:t>5</w:t>
      </w:r>
      <w:r w:rsidR="009C3DB7" w:rsidRPr="003377C3">
        <w:t xml:space="preserve">, příp. </w:t>
      </w:r>
      <w:r w:rsidR="00596190" w:rsidRPr="003377C3">
        <w:tab/>
      </w:r>
      <w:r w:rsidR="009C3DB7" w:rsidRPr="003377C3">
        <w:t>rozpočtového výhledu</w:t>
      </w:r>
    </w:p>
    <w:p w:rsidR="00C71172" w:rsidRDefault="007D0304" w:rsidP="00CD0343">
      <w:pPr>
        <w:pStyle w:val="vlevo"/>
      </w:pPr>
      <w:r>
        <w:t xml:space="preserve">Příloha č. </w:t>
      </w:r>
      <w:r w:rsidR="008D7966">
        <w:t>6</w:t>
      </w:r>
      <w:r w:rsidR="008751EA" w:rsidRPr="008751EA">
        <w:tab/>
      </w:r>
      <w:r w:rsidR="00710460" w:rsidRPr="00710460">
        <w:t>–</w:t>
      </w:r>
      <w:r w:rsidR="00CE2DD9">
        <w:tab/>
      </w:r>
      <w:r w:rsidR="00A374D6">
        <w:t xml:space="preserve">usnesení ZMP č. </w:t>
      </w:r>
      <w:r w:rsidR="004402AA">
        <w:t>295</w:t>
      </w:r>
      <w:r w:rsidR="003A7F8D">
        <w:t xml:space="preserve"> ze dne </w:t>
      </w:r>
      <w:r w:rsidR="004402AA">
        <w:t>12</w:t>
      </w:r>
      <w:r w:rsidR="00C71172">
        <w:t>.</w:t>
      </w:r>
      <w:r w:rsidR="003A7F8D">
        <w:t xml:space="preserve"> </w:t>
      </w:r>
      <w:r w:rsidR="004402AA">
        <w:t>6</w:t>
      </w:r>
      <w:r w:rsidR="00C71172">
        <w:t>.</w:t>
      </w:r>
      <w:r w:rsidR="003A7F8D">
        <w:t xml:space="preserve"> </w:t>
      </w:r>
      <w:r w:rsidR="00C71172">
        <w:t>201</w:t>
      </w:r>
      <w:r w:rsidR="004402AA">
        <w:t>4</w:t>
      </w:r>
      <w:r w:rsidR="00C71172">
        <w:t xml:space="preserve">, kterým byl schválen finanční vztah </w:t>
      </w:r>
      <w:r w:rsidR="00CE2DD9">
        <w:tab/>
      </w:r>
      <w:r w:rsidR="00CE2DD9">
        <w:tab/>
      </w:r>
      <w:r w:rsidR="00C71172">
        <w:t>rozpočtu města k městským obvodům pro rok 201</w:t>
      </w:r>
      <w:r w:rsidR="004402AA">
        <w:t>5</w:t>
      </w:r>
      <w:r w:rsidR="003A7F8D">
        <w:t xml:space="preserve"> a rozpočtový výhled 201</w:t>
      </w:r>
      <w:r w:rsidR="004402AA">
        <w:t>6</w:t>
      </w:r>
      <w:r w:rsidR="00C71172">
        <w:t xml:space="preserve"> </w:t>
      </w:r>
      <w:r w:rsidR="00CE2DD9">
        <w:tab/>
      </w:r>
      <w:r w:rsidR="00CE2DD9">
        <w:tab/>
      </w:r>
      <w:r w:rsidR="003A7F8D">
        <w:t>– 201</w:t>
      </w:r>
      <w:r w:rsidR="004402AA">
        <w:t>8</w:t>
      </w:r>
    </w:p>
    <w:p w:rsidR="008F2EC5" w:rsidRDefault="008F2EC5" w:rsidP="00CD0343">
      <w:pPr>
        <w:pStyle w:val="vlevo"/>
      </w:pPr>
      <w:r>
        <w:t xml:space="preserve">Příloha </w:t>
      </w:r>
      <w:proofErr w:type="gramStart"/>
      <w:r>
        <w:t>č. 7  – Zásady</w:t>
      </w:r>
      <w:proofErr w:type="gramEnd"/>
      <w:r>
        <w:t xml:space="preserve"> pro sestavení návrhu rozpočtu pro rok 2015 včetně rozpočtového </w:t>
      </w:r>
    </w:p>
    <w:p w:rsidR="008F2EC5" w:rsidRDefault="008F2EC5" w:rsidP="00CD0343">
      <w:pPr>
        <w:pStyle w:val="vlevo"/>
      </w:pPr>
      <w:r>
        <w:t xml:space="preserve">                       výhledu (schváleny </w:t>
      </w:r>
      <w:proofErr w:type="spellStart"/>
      <w:r>
        <w:t>usn</w:t>
      </w:r>
      <w:proofErr w:type="spellEnd"/>
      <w:r>
        <w:t>. RMP č. 705 ze dne 19. 6. 2014)</w:t>
      </w:r>
    </w:p>
    <w:p w:rsidR="00196367" w:rsidRDefault="00E86A37" w:rsidP="00CD0343">
      <w:pPr>
        <w:pStyle w:val="vlevo"/>
      </w:pPr>
      <w:r>
        <w:t xml:space="preserve">Příloha č. 8  –  usnesení RMP č. 1254 ze dne </w:t>
      </w:r>
      <w:proofErr w:type="gramStart"/>
      <w:r>
        <w:t>27.11. 2014</w:t>
      </w:r>
      <w:proofErr w:type="gramEnd"/>
      <w:r w:rsidR="00196367">
        <w:t xml:space="preserve">, kterým byl odsouhlasen návrh </w:t>
      </w:r>
    </w:p>
    <w:p w:rsidR="00E86A37" w:rsidRDefault="00196367" w:rsidP="00CD0343">
      <w:pPr>
        <w:pStyle w:val="vlevo"/>
      </w:pPr>
      <w:r>
        <w:t xml:space="preserve">                        rozpočtu města v RMP</w:t>
      </w:r>
    </w:p>
    <w:p w:rsidR="00841640" w:rsidRDefault="00841640" w:rsidP="00CD0343">
      <w:pPr>
        <w:pStyle w:val="vlevo"/>
      </w:pPr>
    </w:p>
    <w:sectPr w:rsidR="0084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07"/>
    <w:multiLevelType w:val="hybridMultilevel"/>
    <w:tmpl w:val="E954FA7C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2E16"/>
    <w:multiLevelType w:val="hybridMultilevel"/>
    <w:tmpl w:val="42FE999E"/>
    <w:lvl w:ilvl="0" w:tplc="A662717C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C75224A"/>
    <w:multiLevelType w:val="hybridMultilevel"/>
    <w:tmpl w:val="7C7403AA"/>
    <w:lvl w:ilvl="0" w:tplc="CA7CB05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3641"/>
    <w:multiLevelType w:val="singleLevel"/>
    <w:tmpl w:val="F32A4C1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FB1"/>
    <w:multiLevelType w:val="hybridMultilevel"/>
    <w:tmpl w:val="EAB48526"/>
    <w:lvl w:ilvl="0" w:tplc="F4AA9EEA">
      <w:start w:val="6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5">
    <w:nsid w:val="18761B80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916F6"/>
    <w:multiLevelType w:val="hybridMultilevel"/>
    <w:tmpl w:val="D444B4E4"/>
    <w:lvl w:ilvl="0" w:tplc="8CA07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C77"/>
    <w:multiLevelType w:val="hybridMultilevel"/>
    <w:tmpl w:val="70C4A078"/>
    <w:lvl w:ilvl="0" w:tplc="9A80CECE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7644FA6"/>
    <w:multiLevelType w:val="hybridMultilevel"/>
    <w:tmpl w:val="C052BE2E"/>
    <w:lvl w:ilvl="0" w:tplc="6226D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CD1"/>
    <w:multiLevelType w:val="hybridMultilevel"/>
    <w:tmpl w:val="FDEE50C4"/>
    <w:lvl w:ilvl="0" w:tplc="B2CE00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3152DA"/>
    <w:multiLevelType w:val="hybridMultilevel"/>
    <w:tmpl w:val="EE1AF76A"/>
    <w:lvl w:ilvl="0" w:tplc="01B83B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91DA6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C3FE1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4"/>
    </w:lvlOverride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5"/>
  </w:num>
  <w:num w:numId="22">
    <w:abstractNumId w:val="0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D"/>
    <w:rsid w:val="000111EB"/>
    <w:rsid w:val="00014639"/>
    <w:rsid w:val="000216BA"/>
    <w:rsid w:val="00025694"/>
    <w:rsid w:val="00025A0B"/>
    <w:rsid w:val="00033A5A"/>
    <w:rsid w:val="00045283"/>
    <w:rsid w:val="00050EA4"/>
    <w:rsid w:val="00054A6A"/>
    <w:rsid w:val="00075596"/>
    <w:rsid w:val="00077535"/>
    <w:rsid w:val="00082372"/>
    <w:rsid w:val="000A2F0C"/>
    <w:rsid w:val="000C7268"/>
    <w:rsid w:val="000D4868"/>
    <w:rsid w:val="0014264D"/>
    <w:rsid w:val="00144DE6"/>
    <w:rsid w:val="0015138C"/>
    <w:rsid w:val="00157E92"/>
    <w:rsid w:val="00196367"/>
    <w:rsid w:val="001969D0"/>
    <w:rsid w:val="001B1224"/>
    <w:rsid w:val="001B5CCB"/>
    <w:rsid w:val="001E195F"/>
    <w:rsid w:val="002060FC"/>
    <w:rsid w:val="00211947"/>
    <w:rsid w:val="002135FD"/>
    <w:rsid w:val="00217F35"/>
    <w:rsid w:val="00220765"/>
    <w:rsid w:val="0024223C"/>
    <w:rsid w:val="00290909"/>
    <w:rsid w:val="002B2601"/>
    <w:rsid w:val="002C5703"/>
    <w:rsid w:val="002E0F88"/>
    <w:rsid w:val="002E73E5"/>
    <w:rsid w:val="002F35FD"/>
    <w:rsid w:val="00302CD3"/>
    <w:rsid w:val="00304AD3"/>
    <w:rsid w:val="00331212"/>
    <w:rsid w:val="003377C3"/>
    <w:rsid w:val="0034006A"/>
    <w:rsid w:val="00341302"/>
    <w:rsid w:val="00345FD4"/>
    <w:rsid w:val="00362672"/>
    <w:rsid w:val="003962AD"/>
    <w:rsid w:val="003A7F8D"/>
    <w:rsid w:val="003B0343"/>
    <w:rsid w:val="003D473E"/>
    <w:rsid w:val="003E6FE3"/>
    <w:rsid w:val="003F7BD4"/>
    <w:rsid w:val="004012DE"/>
    <w:rsid w:val="00414C07"/>
    <w:rsid w:val="00416C1F"/>
    <w:rsid w:val="00420E84"/>
    <w:rsid w:val="00421104"/>
    <w:rsid w:val="0043281F"/>
    <w:rsid w:val="004402AA"/>
    <w:rsid w:val="004474E4"/>
    <w:rsid w:val="004741A3"/>
    <w:rsid w:val="004905A2"/>
    <w:rsid w:val="004A03A1"/>
    <w:rsid w:val="004B13DF"/>
    <w:rsid w:val="004B4442"/>
    <w:rsid w:val="004D1DF7"/>
    <w:rsid w:val="004D3F20"/>
    <w:rsid w:val="004F2EBE"/>
    <w:rsid w:val="005245E8"/>
    <w:rsid w:val="005259C7"/>
    <w:rsid w:val="005522B5"/>
    <w:rsid w:val="00572C98"/>
    <w:rsid w:val="0057372B"/>
    <w:rsid w:val="005758C7"/>
    <w:rsid w:val="00596190"/>
    <w:rsid w:val="005A3CC1"/>
    <w:rsid w:val="005A40F9"/>
    <w:rsid w:val="005C053D"/>
    <w:rsid w:val="005D36B5"/>
    <w:rsid w:val="00602F51"/>
    <w:rsid w:val="006045A3"/>
    <w:rsid w:val="00623032"/>
    <w:rsid w:val="006675E6"/>
    <w:rsid w:val="00693C81"/>
    <w:rsid w:val="006F3A18"/>
    <w:rsid w:val="006F5FAD"/>
    <w:rsid w:val="00710460"/>
    <w:rsid w:val="007120D7"/>
    <w:rsid w:val="00742B6A"/>
    <w:rsid w:val="0076436A"/>
    <w:rsid w:val="007816D9"/>
    <w:rsid w:val="007863CD"/>
    <w:rsid w:val="007B34A1"/>
    <w:rsid w:val="007D0304"/>
    <w:rsid w:val="007D5A55"/>
    <w:rsid w:val="008364A9"/>
    <w:rsid w:val="00841640"/>
    <w:rsid w:val="00845D5F"/>
    <w:rsid w:val="00865430"/>
    <w:rsid w:val="008751EA"/>
    <w:rsid w:val="008D1F0F"/>
    <w:rsid w:val="008D7966"/>
    <w:rsid w:val="008E5165"/>
    <w:rsid w:val="008F2EC5"/>
    <w:rsid w:val="00924DB6"/>
    <w:rsid w:val="0092689C"/>
    <w:rsid w:val="009801D1"/>
    <w:rsid w:val="00983986"/>
    <w:rsid w:val="009873E3"/>
    <w:rsid w:val="0099365E"/>
    <w:rsid w:val="0099509C"/>
    <w:rsid w:val="009976D9"/>
    <w:rsid w:val="009C3DB7"/>
    <w:rsid w:val="009C655C"/>
    <w:rsid w:val="009E3664"/>
    <w:rsid w:val="009E79B3"/>
    <w:rsid w:val="009F3CD4"/>
    <w:rsid w:val="009F42FD"/>
    <w:rsid w:val="00A0654D"/>
    <w:rsid w:val="00A111BF"/>
    <w:rsid w:val="00A15DEA"/>
    <w:rsid w:val="00A21931"/>
    <w:rsid w:val="00A374D6"/>
    <w:rsid w:val="00A44DFF"/>
    <w:rsid w:val="00A6335C"/>
    <w:rsid w:val="00A75C22"/>
    <w:rsid w:val="00A817B6"/>
    <w:rsid w:val="00A81D3A"/>
    <w:rsid w:val="00A94BB6"/>
    <w:rsid w:val="00A95CBC"/>
    <w:rsid w:val="00A96A66"/>
    <w:rsid w:val="00AA7953"/>
    <w:rsid w:val="00AB7682"/>
    <w:rsid w:val="00AD1659"/>
    <w:rsid w:val="00AF33F4"/>
    <w:rsid w:val="00B04E91"/>
    <w:rsid w:val="00B25653"/>
    <w:rsid w:val="00B54337"/>
    <w:rsid w:val="00B60F1E"/>
    <w:rsid w:val="00B63D74"/>
    <w:rsid w:val="00B7066A"/>
    <w:rsid w:val="00B860D5"/>
    <w:rsid w:val="00BA3121"/>
    <w:rsid w:val="00BB2E4F"/>
    <w:rsid w:val="00BC5C6B"/>
    <w:rsid w:val="00BE79F9"/>
    <w:rsid w:val="00C14B08"/>
    <w:rsid w:val="00C16E00"/>
    <w:rsid w:val="00C20032"/>
    <w:rsid w:val="00C56FE7"/>
    <w:rsid w:val="00C571ED"/>
    <w:rsid w:val="00C6404C"/>
    <w:rsid w:val="00C71172"/>
    <w:rsid w:val="00C82C3A"/>
    <w:rsid w:val="00CB03CE"/>
    <w:rsid w:val="00CD0343"/>
    <w:rsid w:val="00CE070A"/>
    <w:rsid w:val="00CE2DD9"/>
    <w:rsid w:val="00CE3EEC"/>
    <w:rsid w:val="00D02C05"/>
    <w:rsid w:val="00D2189F"/>
    <w:rsid w:val="00D57C8D"/>
    <w:rsid w:val="00D657F8"/>
    <w:rsid w:val="00D74361"/>
    <w:rsid w:val="00D7538C"/>
    <w:rsid w:val="00D851D1"/>
    <w:rsid w:val="00D90EFC"/>
    <w:rsid w:val="00DA1779"/>
    <w:rsid w:val="00DB2929"/>
    <w:rsid w:val="00DD5134"/>
    <w:rsid w:val="00DF43BE"/>
    <w:rsid w:val="00DF747F"/>
    <w:rsid w:val="00E00FA2"/>
    <w:rsid w:val="00E354FE"/>
    <w:rsid w:val="00E55371"/>
    <w:rsid w:val="00E57913"/>
    <w:rsid w:val="00E7018E"/>
    <w:rsid w:val="00E86A37"/>
    <w:rsid w:val="00E90A21"/>
    <w:rsid w:val="00E93823"/>
    <w:rsid w:val="00E97ACA"/>
    <w:rsid w:val="00EA284B"/>
    <w:rsid w:val="00EA2909"/>
    <w:rsid w:val="00EB71B9"/>
    <w:rsid w:val="00EC69CA"/>
    <w:rsid w:val="00ED758A"/>
    <w:rsid w:val="00EE68F0"/>
    <w:rsid w:val="00EF66AC"/>
    <w:rsid w:val="00EF786E"/>
    <w:rsid w:val="00F01226"/>
    <w:rsid w:val="00F030D7"/>
    <w:rsid w:val="00F5734C"/>
    <w:rsid w:val="00F71DD7"/>
    <w:rsid w:val="00FB05F1"/>
    <w:rsid w:val="00FC2AB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D0343"/>
    <w:pPr>
      <w:tabs>
        <w:tab w:val="left" w:pos="1260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D0343"/>
    <w:pPr>
      <w:tabs>
        <w:tab w:val="left" w:pos="1260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D86A-8B86-4CB4-8007-26122FEC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5</TotalTime>
  <Pages>3</Pages>
  <Words>918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Michal Beránek</dc:creator>
  <cp:lastModifiedBy>Dezortová Petra</cp:lastModifiedBy>
  <cp:revision>4</cp:revision>
  <cp:lastPrinted>2013-11-26T06:39:00Z</cp:lastPrinted>
  <dcterms:created xsi:type="dcterms:W3CDTF">2014-11-28T12:24:00Z</dcterms:created>
  <dcterms:modified xsi:type="dcterms:W3CDTF">2014-11-28T13:21:00Z</dcterms:modified>
</cp:coreProperties>
</file>