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31" w:rsidRDefault="00B84331" w:rsidP="00B84331">
      <w:pPr>
        <w:pStyle w:val="nadpcent"/>
      </w:pPr>
      <w:r>
        <w:t>Důvodová zpráva</w:t>
      </w:r>
    </w:p>
    <w:p w:rsidR="00B84331" w:rsidRDefault="00B84331" w:rsidP="00B84331">
      <w:pPr>
        <w:pStyle w:val="ostzahl"/>
      </w:pPr>
      <w:r>
        <w:t>Název problému a jeho charakteristika</w:t>
      </w:r>
    </w:p>
    <w:p w:rsidR="00B84331" w:rsidRPr="00B84331" w:rsidRDefault="00B84331" w:rsidP="00B84331">
      <w:pPr>
        <w:tabs>
          <w:tab w:val="left" w:pos="284"/>
        </w:tabs>
        <w:jc w:val="both"/>
        <w:rPr>
          <w:sz w:val="24"/>
          <w:szCs w:val="24"/>
        </w:rPr>
      </w:pPr>
      <w:r>
        <w:tab/>
      </w:r>
      <w:r w:rsidRPr="00B84331">
        <w:rPr>
          <w:sz w:val="24"/>
          <w:szCs w:val="24"/>
          <w:lang w:eastAsia="en-US"/>
        </w:rPr>
        <w:t xml:space="preserve">Změna usnesení </w:t>
      </w:r>
      <w:r w:rsidR="00467614">
        <w:rPr>
          <w:sz w:val="24"/>
          <w:szCs w:val="24"/>
          <w:lang w:eastAsia="en-US"/>
        </w:rPr>
        <w:t>Z</w:t>
      </w:r>
      <w:r w:rsidRPr="00B84331">
        <w:rPr>
          <w:sz w:val="24"/>
          <w:szCs w:val="24"/>
          <w:lang w:eastAsia="en-US"/>
        </w:rPr>
        <w:t>MP č. 5</w:t>
      </w:r>
      <w:r w:rsidR="00467614">
        <w:rPr>
          <w:sz w:val="24"/>
          <w:szCs w:val="24"/>
          <w:lang w:eastAsia="en-US"/>
        </w:rPr>
        <w:t>50</w:t>
      </w:r>
      <w:r w:rsidRPr="00B84331">
        <w:rPr>
          <w:sz w:val="24"/>
          <w:szCs w:val="24"/>
          <w:lang w:eastAsia="en-US"/>
        </w:rPr>
        <w:t>/2014 ve věci úpravy lhůty pro realizaci výstavby a uvedení do provozu domova důchodců a denního stacionáře pro důchodce</w:t>
      </w:r>
      <w:r w:rsidR="003A4CF3">
        <w:rPr>
          <w:sz w:val="24"/>
          <w:szCs w:val="24"/>
          <w:lang w:eastAsia="en-US"/>
        </w:rPr>
        <w:t xml:space="preserve"> – objekt Klatovská 90</w:t>
      </w:r>
      <w:r w:rsidRPr="00B84331">
        <w:rPr>
          <w:sz w:val="24"/>
          <w:szCs w:val="24"/>
          <w:lang w:eastAsia="en-US"/>
        </w:rPr>
        <w:t>.</w:t>
      </w:r>
    </w:p>
    <w:p w:rsidR="00B84331" w:rsidRDefault="00B84331" w:rsidP="00B84331">
      <w:pPr>
        <w:pStyle w:val="ostzahl"/>
      </w:pPr>
      <w:r>
        <w:t>Konstatování současného stavu a jeho analýza</w:t>
      </w:r>
    </w:p>
    <w:p w:rsidR="00B84331" w:rsidRPr="00B84331" w:rsidRDefault="00B84331" w:rsidP="00B84331">
      <w:pPr>
        <w:tabs>
          <w:tab w:val="left" w:pos="284"/>
        </w:tabs>
        <w:jc w:val="both"/>
        <w:rPr>
          <w:sz w:val="24"/>
          <w:szCs w:val="24"/>
        </w:rPr>
      </w:pPr>
      <w:r>
        <w:rPr>
          <w:sz w:val="24"/>
          <w:szCs w:val="24"/>
        </w:rPr>
        <w:tab/>
      </w:r>
      <w:r w:rsidRPr="00B84331">
        <w:rPr>
          <w:sz w:val="24"/>
          <w:szCs w:val="24"/>
        </w:rPr>
        <w:t xml:space="preserve">Usnesením Zastupitelstva města Plzně č. 550 ze dne 4. 9. 2014, kterým bylo schváleno uzavření Dodatku č. 2 ke smlouvě o BÚP </w:t>
      </w:r>
      <w:r w:rsidR="003A4CF3">
        <w:rPr>
          <w:sz w:val="24"/>
          <w:szCs w:val="24"/>
        </w:rPr>
        <w:t xml:space="preserve">pozemků v k. </w:t>
      </w:r>
      <w:proofErr w:type="spellStart"/>
      <w:r w:rsidR="003A4CF3">
        <w:rPr>
          <w:sz w:val="24"/>
          <w:szCs w:val="24"/>
        </w:rPr>
        <w:t>ú.</w:t>
      </w:r>
      <w:proofErr w:type="spellEnd"/>
      <w:r w:rsidR="003A4CF3">
        <w:rPr>
          <w:sz w:val="24"/>
          <w:szCs w:val="24"/>
        </w:rPr>
        <w:t xml:space="preserve"> Plzeň (objekt Klatovská 90) </w:t>
      </w:r>
      <w:r w:rsidRPr="00B84331">
        <w:rPr>
          <w:sz w:val="24"/>
          <w:szCs w:val="24"/>
        </w:rPr>
        <w:t>z roku 2002 a dodatku č. 1 z roku 2005 mezi městem Plzní a Českou republikou – Úřad pro zastupování státu ve věcech majetkových (dále jen ÚZSVM), a to ve smyslu prodloužení lhůty realizace výstavby a uvedení do provozu domova důchodců a denního stacionáře pro důchodce o sedm let.</w:t>
      </w:r>
    </w:p>
    <w:p w:rsidR="00B84331" w:rsidRDefault="00B84331" w:rsidP="00B84331">
      <w:pPr>
        <w:tabs>
          <w:tab w:val="left" w:pos="284"/>
        </w:tabs>
        <w:jc w:val="both"/>
        <w:rPr>
          <w:sz w:val="24"/>
          <w:szCs w:val="24"/>
        </w:rPr>
      </w:pPr>
      <w:r>
        <w:rPr>
          <w:sz w:val="24"/>
          <w:szCs w:val="24"/>
        </w:rPr>
        <w:tab/>
        <w:t>Na základě přijatých usnesení požádalo město Plzeň Úřad pro zastupování státu ve věcech majetkových o realizaci dodatku č. 2 ve smyslu přijatých usnesení.</w:t>
      </w:r>
    </w:p>
    <w:p w:rsidR="00B84331" w:rsidRDefault="00B84331" w:rsidP="00B84331">
      <w:pPr>
        <w:tabs>
          <w:tab w:val="left" w:pos="284"/>
        </w:tabs>
        <w:jc w:val="both"/>
        <w:rPr>
          <w:sz w:val="24"/>
          <w:szCs w:val="24"/>
        </w:rPr>
      </w:pPr>
      <w:r>
        <w:rPr>
          <w:sz w:val="24"/>
          <w:szCs w:val="24"/>
        </w:rPr>
        <w:tab/>
        <w:t>Úřad pro zastupování státu ve věcech majetkových sdělil dne 12. ledna 2015, že po projednání případu na ústředí Úřadu pro zastupování státu ve věcech majetkových bylo rozhodnuto o uzavření dodatku ke smlouvě o bezúplatném převodu s tím, že bude prodlouženo období pro realizaci proje</w:t>
      </w:r>
      <w:r w:rsidR="00874041">
        <w:rPr>
          <w:sz w:val="24"/>
          <w:szCs w:val="24"/>
        </w:rPr>
        <w:t>kt</w:t>
      </w:r>
      <w:r>
        <w:rPr>
          <w:sz w:val="24"/>
          <w:szCs w:val="24"/>
        </w:rPr>
        <w:t>u výstavby a provozu domova důchodců a denního stacioná</w:t>
      </w:r>
      <w:r w:rsidR="00874041">
        <w:rPr>
          <w:sz w:val="24"/>
          <w:szCs w:val="24"/>
        </w:rPr>
        <w:t>ř</w:t>
      </w:r>
      <w:r>
        <w:rPr>
          <w:sz w:val="24"/>
          <w:szCs w:val="24"/>
        </w:rPr>
        <w:t xml:space="preserve">e pro seniory o 5 let, tj. do listopadu 2020. </w:t>
      </w:r>
    </w:p>
    <w:p w:rsidR="00B84331" w:rsidRDefault="00874041" w:rsidP="00B84331">
      <w:pPr>
        <w:tabs>
          <w:tab w:val="left" w:pos="284"/>
        </w:tabs>
        <w:jc w:val="both"/>
        <w:rPr>
          <w:sz w:val="24"/>
          <w:szCs w:val="24"/>
        </w:rPr>
      </w:pPr>
      <w:r>
        <w:rPr>
          <w:sz w:val="24"/>
          <w:szCs w:val="24"/>
        </w:rPr>
        <w:tab/>
        <w:t xml:space="preserve">MAJ MMP požádal Úřad služeb obyvatelstva MMP o vydání stanoviska k rozhodnutí Úřadu pro zastupování státu ve věcech majetkových, a to že lhůta bude oproti přijatým usnesením města prodloužena o pět let. ÚSO MMP svým stanoviskem </w:t>
      </w:r>
      <w:proofErr w:type="gramStart"/>
      <w:r>
        <w:rPr>
          <w:sz w:val="24"/>
          <w:szCs w:val="24"/>
        </w:rPr>
        <w:t>č.j.</w:t>
      </w:r>
      <w:proofErr w:type="gramEnd"/>
      <w:r>
        <w:rPr>
          <w:sz w:val="24"/>
          <w:szCs w:val="24"/>
        </w:rPr>
        <w:t xml:space="preserve"> MMP/008888/15 ze dne 22. 1. 2015 vyslovil souhlas s rozhodnutím státu.</w:t>
      </w:r>
    </w:p>
    <w:p w:rsidR="00874041" w:rsidRDefault="00874041" w:rsidP="00B84331">
      <w:pPr>
        <w:tabs>
          <w:tab w:val="left" w:pos="284"/>
        </w:tabs>
        <w:jc w:val="both"/>
        <w:rPr>
          <w:sz w:val="24"/>
          <w:szCs w:val="24"/>
        </w:rPr>
      </w:pPr>
      <w:r>
        <w:rPr>
          <w:sz w:val="24"/>
          <w:szCs w:val="24"/>
        </w:rPr>
        <w:tab/>
        <w:t>Z tohoto důvodu je předkládán tento materiál.</w:t>
      </w:r>
    </w:p>
    <w:p w:rsidR="00874041" w:rsidRDefault="00874041" w:rsidP="00B84331">
      <w:pPr>
        <w:tabs>
          <w:tab w:val="left" w:pos="284"/>
        </w:tabs>
        <w:jc w:val="both"/>
        <w:rPr>
          <w:sz w:val="24"/>
          <w:szCs w:val="24"/>
        </w:rPr>
      </w:pPr>
    </w:p>
    <w:p w:rsidR="00874041" w:rsidRDefault="00874041" w:rsidP="00B84331">
      <w:pPr>
        <w:tabs>
          <w:tab w:val="left" w:pos="284"/>
        </w:tabs>
        <w:jc w:val="both"/>
        <w:rPr>
          <w:sz w:val="24"/>
          <w:szCs w:val="24"/>
        </w:rPr>
      </w:pPr>
      <w:r>
        <w:rPr>
          <w:sz w:val="24"/>
          <w:szCs w:val="24"/>
        </w:rPr>
        <w:t>Historie:</w:t>
      </w:r>
    </w:p>
    <w:p w:rsidR="00B84331" w:rsidRPr="00874041" w:rsidRDefault="00B84331" w:rsidP="00B84331">
      <w:pPr>
        <w:tabs>
          <w:tab w:val="left" w:pos="284"/>
        </w:tabs>
        <w:jc w:val="both"/>
        <w:rPr>
          <w:i/>
          <w:sz w:val="24"/>
          <w:szCs w:val="24"/>
        </w:rPr>
      </w:pPr>
      <w:r w:rsidRPr="00874041">
        <w:rPr>
          <w:i/>
          <w:sz w:val="24"/>
          <w:szCs w:val="24"/>
        </w:rPr>
        <w:t xml:space="preserve">Město Plzeň je na základě smlouvy o bezúplatném převodu ze dne 17. 2. 2005 vlastníkem pozemků </w:t>
      </w:r>
      <w:proofErr w:type="spellStart"/>
      <w:r w:rsidRPr="00874041">
        <w:rPr>
          <w:i/>
          <w:sz w:val="24"/>
          <w:szCs w:val="24"/>
        </w:rPr>
        <w:t>parc</w:t>
      </w:r>
      <w:proofErr w:type="spellEnd"/>
      <w:r w:rsidRPr="00874041">
        <w:rPr>
          <w:i/>
          <w:sz w:val="24"/>
          <w:szCs w:val="24"/>
        </w:rPr>
        <w:t xml:space="preserve">. </w:t>
      </w:r>
      <w:proofErr w:type="gramStart"/>
      <w:r w:rsidRPr="00874041">
        <w:rPr>
          <w:i/>
          <w:sz w:val="24"/>
          <w:szCs w:val="24"/>
        </w:rPr>
        <w:t>č.</w:t>
      </w:r>
      <w:proofErr w:type="gramEnd"/>
      <w:r w:rsidRPr="00874041">
        <w:rPr>
          <w:i/>
          <w:sz w:val="24"/>
          <w:szCs w:val="24"/>
        </w:rPr>
        <w:t xml:space="preserve"> 7308/1 o výměře 1091 m</w:t>
      </w:r>
      <w:r w:rsidRPr="00874041">
        <w:rPr>
          <w:i/>
          <w:sz w:val="24"/>
          <w:szCs w:val="24"/>
          <w:vertAlign w:val="superscript"/>
        </w:rPr>
        <w:t>2</w:t>
      </w:r>
      <w:r w:rsidRPr="00874041">
        <w:rPr>
          <w:i/>
          <w:sz w:val="24"/>
          <w:szCs w:val="24"/>
        </w:rPr>
        <w:t xml:space="preserve">, zastavěná plocha a nádvoří - společný dvůr, </w:t>
      </w:r>
      <w:proofErr w:type="spellStart"/>
      <w:r w:rsidRPr="00874041">
        <w:rPr>
          <w:i/>
          <w:sz w:val="24"/>
          <w:szCs w:val="24"/>
        </w:rPr>
        <w:t>parc</w:t>
      </w:r>
      <w:proofErr w:type="spellEnd"/>
      <w:r w:rsidRPr="00874041">
        <w:rPr>
          <w:i/>
          <w:sz w:val="24"/>
          <w:szCs w:val="24"/>
        </w:rPr>
        <w:t>. č. 7308/2 o výměře 77 m</w:t>
      </w:r>
      <w:r w:rsidRPr="00874041">
        <w:rPr>
          <w:i/>
          <w:sz w:val="24"/>
          <w:szCs w:val="24"/>
          <w:vertAlign w:val="superscript"/>
        </w:rPr>
        <w:t>2</w:t>
      </w:r>
      <w:r w:rsidRPr="00874041">
        <w:rPr>
          <w:i/>
          <w:sz w:val="24"/>
          <w:szCs w:val="24"/>
        </w:rPr>
        <w:t xml:space="preserve">, zastavěná plocha a nádvoří - společný dvůr a </w:t>
      </w:r>
      <w:proofErr w:type="spellStart"/>
      <w:r w:rsidRPr="00874041">
        <w:rPr>
          <w:i/>
          <w:sz w:val="24"/>
          <w:szCs w:val="24"/>
        </w:rPr>
        <w:t>parc</w:t>
      </w:r>
      <w:proofErr w:type="spellEnd"/>
      <w:r w:rsidRPr="00874041">
        <w:rPr>
          <w:i/>
          <w:sz w:val="24"/>
          <w:szCs w:val="24"/>
        </w:rPr>
        <w:t>. č. 7308/6 o výměře 568 m</w:t>
      </w:r>
      <w:r w:rsidRPr="00874041">
        <w:rPr>
          <w:i/>
          <w:sz w:val="24"/>
          <w:szCs w:val="24"/>
          <w:vertAlign w:val="superscript"/>
        </w:rPr>
        <w:t>2</w:t>
      </w:r>
      <w:r w:rsidRPr="00874041">
        <w:rPr>
          <w:i/>
          <w:sz w:val="24"/>
          <w:szCs w:val="24"/>
        </w:rPr>
        <w:t xml:space="preserve">, ostatní plocha, vše k. </w:t>
      </w:r>
      <w:proofErr w:type="spellStart"/>
      <w:r w:rsidRPr="00874041">
        <w:rPr>
          <w:i/>
          <w:sz w:val="24"/>
          <w:szCs w:val="24"/>
        </w:rPr>
        <w:t>ú.</w:t>
      </w:r>
      <w:proofErr w:type="spellEnd"/>
      <w:r w:rsidRPr="00874041">
        <w:rPr>
          <w:i/>
          <w:sz w:val="24"/>
          <w:szCs w:val="24"/>
        </w:rPr>
        <w:t xml:space="preserve"> Plzeň. </w:t>
      </w:r>
    </w:p>
    <w:p w:rsidR="00B84331" w:rsidRPr="00874041" w:rsidRDefault="00B84331" w:rsidP="00B84331">
      <w:pPr>
        <w:tabs>
          <w:tab w:val="left" w:pos="284"/>
        </w:tabs>
        <w:jc w:val="both"/>
        <w:rPr>
          <w:i/>
          <w:sz w:val="24"/>
          <w:szCs w:val="24"/>
        </w:rPr>
      </w:pPr>
      <w:r w:rsidRPr="00874041">
        <w:rPr>
          <w:i/>
          <w:sz w:val="24"/>
          <w:szCs w:val="24"/>
        </w:rPr>
        <w:tab/>
        <w:t xml:space="preserve">Článek V. předmětné smlouvy obsahuje ustanovení, že v případě dalšího převodu předmětných pozemků na třetí osobu ve lhůtě deseti let ode dne vkladu do katastru nemovitostí podle této smlouvy, odvede do státního rozpočtu prostřednictvím strany převádějící nebo jejího právního nástupce 100% z ceny pozemků oceněných pro tento účel znaleckým posudkem, tj. ceny takto zjištěné v době převodu na třetí osobu. </w:t>
      </w:r>
    </w:p>
    <w:p w:rsidR="00B84331" w:rsidRPr="00874041" w:rsidRDefault="00B84331" w:rsidP="00B84331">
      <w:pPr>
        <w:tabs>
          <w:tab w:val="left" w:pos="284"/>
        </w:tabs>
        <w:jc w:val="both"/>
        <w:rPr>
          <w:i/>
          <w:sz w:val="24"/>
          <w:szCs w:val="24"/>
        </w:rPr>
      </w:pPr>
      <w:r w:rsidRPr="00874041">
        <w:rPr>
          <w:i/>
          <w:sz w:val="24"/>
          <w:szCs w:val="24"/>
        </w:rPr>
        <w:tab/>
        <w:t>Dne 17. 2. 2005 byl uzavřen „Dodatek č. 1“ k předmětné smlouvě. Předmětem dodatku byla změna čl. V. citované smlouvy. Město Plzeň se zavázalo:</w:t>
      </w:r>
    </w:p>
    <w:p w:rsidR="00B84331" w:rsidRPr="00874041" w:rsidRDefault="00B84331" w:rsidP="00B84331">
      <w:pPr>
        <w:ind w:left="284" w:hanging="284"/>
        <w:jc w:val="both"/>
        <w:rPr>
          <w:i/>
          <w:sz w:val="24"/>
          <w:szCs w:val="24"/>
        </w:rPr>
      </w:pPr>
      <w:r w:rsidRPr="00874041">
        <w:rPr>
          <w:i/>
          <w:sz w:val="24"/>
          <w:szCs w:val="24"/>
        </w:rPr>
        <w:t xml:space="preserve">-   že nejdéle do 10 let od převodu nemovitostí do vlastnictví provede na své náklady demolici dřevěného přístavku na </w:t>
      </w:r>
      <w:proofErr w:type="spellStart"/>
      <w:r w:rsidRPr="00874041">
        <w:rPr>
          <w:i/>
          <w:sz w:val="24"/>
          <w:szCs w:val="24"/>
        </w:rPr>
        <w:t>parc</w:t>
      </w:r>
      <w:proofErr w:type="spellEnd"/>
      <w:r w:rsidRPr="00874041">
        <w:rPr>
          <w:i/>
          <w:sz w:val="24"/>
          <w:szCs w:val="24"/>
        </w:rPr>
        <w:t xml:space="preserve">. </w:t>
      </w:r>
      <w:proofErr w:type="gramStart"/>
      <w:r w:rsidRPr="00874041">
        <w:rPr>
          <w:i/>
          <w:sz w:val="24"/>
          <w:szCs w:val="24"/>
        </w:rPr>
        <w:t>č.</w:t>
      </w:r>
      <w:proofErr w:type="gramEnd"/>
      <w:r w:rsidRPr="00874041">
        <w:rPr>
          <w:i/>
          <w:sz w:val="24"/>
          <w:szCs w:val="24"/>
        </w:rPr>
        <w:t> 7308/6 a využije převáděné pozemky pro výstavbu a provoz domova důchodců a denního stacionáře pro důchodce a zřídí rekondiční zahradu s parkovými úpravami pro klienty domova důchodců a stacionáře ve smyslu Ideového projektu ze dne 31. 10. 2001</w:t>
      </w:r>
    </w:p>
    <w:p w:rsidR="00B84331" w:rsidRPr="00874041" w:rsidRDefault="00B84331" w:rsidP="00B84331">
      <w:pPr>
        <w:ind w:left="284" w:hanging="284"/>
        <w:jc w:val="both"/>
        <w:rPr>
          <w:i/>
          <w:sz w:val="24"/>
          <w:szCs w:val="24"/>
        </w:rPr>
      </w:pPr>
      <w:proofErr w:type="gramStart"/>
      <w:r w:rsidRPr="00874041">
        <w:rPr>
          <w:i/>
          <w:sz w:val="24"/>
          <w:szCs w:val="24"/>
        </w:rPr>
        <w:t xml:space="preserve">- </w:t>
      </w:r>
      <w:r w:rsidR="003A4CF3">
        <w:rPr>
          <w:i/>
          <w:sz w:val="24"/>
          <w:szCs w:val="24"/>
        </w:rPr>
        <w:t xml:space="preserve"> </w:t>
      </w:r>
      <w:r w:rsidRPr="00874041">
        <w:rPr>
          <w:i/>
          <w:sz w:val="24"/>
          <w:szCs w:val="24"/>
        </w:rPr>
        <w:t>že</w:t>
      </w:r>
      <w:proofErr w:type="gramEnd"/>
      <w:r w:rsidRPr="00874041">
        <w:rPr>
          <w:i/>
          <w:sz w:val="24"/>
          <w:szCs w:val="24"/>
        </w:rPr>
        <w:t xml:space="preserve"> ve lhůtě 10 let ode dne vkladu smlouvy do katastru nemovitostí podle této smlouvy a dodatku č. 1 nevloží převáděné nemovitosti a ani jejich části do obchodní společnosti ani je nepřevede na třetí osobu.</w:t>
      </w:r>
    </w:p>
    <w:p w:rsidR="00B84331" w:rsidRPr="00874041" w:rsidRDefault="00B84331" w:rsidP="00B84331">
      <w:pPr>
        <w:tabs>
          <w:tab w:val="left" w:pos="284"/>
        </w:tabs>
        <w:jc w:val="both"/>
        <w:rPr>
          <w:i/>
          <w:sz w:val="24"/>
          <w:szCs w:val="24"/>
        </w:rPr>
      </w:pPr>
      <w:r w:rsidRPr="00874041">
        <w:rPr>
          <w:i/>
          <w:sz w:val="24"/>
          <w:szCs w:val="24"/>
        </w:rPr>
        <w:lastRenderedPageBreak/>
        <w:tab/>
        <w:t>V případě porušení shora uvedených závazků odvede přejímající strana do státního rozpočtu prostřednictvím strany předávající 100% z ceny převáděných nemovitostí oceněných pro tento účel znaleckým posudkem, tj. ceny takto zjištěné v době porušení, nejvýše však 3 milióny Kč.</w:t>
      </w:r>
    </w:p>
    <w:p w:rsidR="00B84331" w:rsidRPr="00874041" w:rsidRDefault="00B84331" w:rsidP="00B84331">
      <w:pPr>
        <w:tabs>
          <w:tab w:val="left" w:pos="284"/>
        </w:tabs>
        <w:jc w:val="both"/>
        <w:rPr>
          <w:i/>
          <w:sz w:val="24"/>
          <w:szCs w:val="24"/>
        </w:rPr>
      </w:pPr>
      <w:r w:rsidRPr="00874041">
        <w:rPr>
          <w:i/>
          <w:sz w:val="24"/>
          <w:szCs w:val="24"/>
        </w:rPr>
        <w:tab/>
        <w:t>Bezúplatně nabytý nemovitý majetek byl svěřen na základě usnesení č. 596 ze dne 3. 10. 2002 do správy příspěvkové organizaci Městský ústav sociálních služeb, a to doplněním do přílohy A její zřizovací listiny.</w:t>
      </w:r>
    </w:p>
    <w:p w:rsidR="00B84331" w:rsidRPr="00874041" w:rsidRDefault="00B84331" w:rsidP="00B84331">
      <w:pPr>
        <w:tabs>
          <w:tab w:val="left" w:pos="284"/>
        </w:tabs>
        <w:jc w:val="both"/>
        <w:rPr>
          <w:i/>
          <w:sz w:val="24"/>
          <w:szCs w:val="24"/>
        </w:rPr>
      </w:pPr>
      <w:r w:rsidRPr="00874041">
        <w:rPr>
          <w:i/>
          <w:sz w:val="24"/>
          <w:szCs w:val="24"/>
        </w:rPr>
        <w:tab/>
      </w:r>
      <w:r w:rsidRPr="00874041">
        <w:rPr>
          <w:i/>
          <w:sz w:val="24"/>
          <w:szCs w:val="24"/>
        </w:rPr>
        <w:tab/>
        <w:t>Ze Smlouvy vyplývá, že nejdéle do 14. 11. 2015 by měl být výše uvedený projekt realizován a zařízení uvedeno do provozu.</w:t>
      </w:r>
    </w:p>
    <w:p w:rsidR="00B84331" w:rsidRPr="00874041" w:rsidRDefault="00B84331" w:rsidP="00B84331">
      <w:pPr>
        <w:tabs>
          <w:tab w:val="left" w:pos="284"/>
        </w:tabs>
        <w:jc w:val="both"/>
        <w:rPr>
          <w:i/>
          <w:sz w:val="24"/>
          <w:szCs w:val="24"/>
        </w:rPr>
      </w:pPr>
      <w:r w:rsidRPr="00874041">
        <w:rPr>
          <w:i/>
          <w:sz w:val="24"/>
          <w:szCs w:val="24"/>
        </w:rPr>
        <w:tab/>
        <w:t xml:space="preserve">Demolice dřevěného přístavku na </w:t>
      </w:r>
      <w:proofErr w:type="spellStart"/>
      <w:proofErr w:type="gramStart"/>
      <w:r w:rsidRPr="00874041">
        <w:rPr>
          <w:i/>
          <w:sz w:val="24"/>
          <w:szCs w:val="24"/>
        </w:rPr>
        <w:t>p.č</w:t>
      </w:r>
      <w:proofErr w:type="spellEnd"/>
      <w:r w:rsidRPr="00874041">
        <w:rPr>
          <w:i/>
          <w:sz w:val="24"/>
          <w:szCs w:val="24"/>
        </w:rPr>
        <w:t>.</w:t>
      </w:r>
      <w:proofErr w:type="gramEnd"/>
      <w:r w:rsidRPr="00874041">
        <w:rPr>
          <w:i/>
          <w:sz w:val="24"/>
          <w:szCs w:val="24"/>
        </w:rPr>
        <w:t xml:space="preserve"> 7308/6 byla provedena v květnu 2007, v roce 2008 proběhlo výběrové řízení na zpracovatele projektové dokumentace pro výstavbu domova pro seniory a denního stacionáře.</w:t>
      </w:r>
    </w:p>
    <w:p w:rsidR="00B84331" w:rsidRPr="00874041" w:rsidRDefault="00B84331" w:rsidP="00B84331">
      <w:pPr>
        <w:tabs>
          <w:tab w:val="left" w:pos="284"/>
        </w:tabs>
        <w:jc w:val="both"/>
        <w:rPr>
          <w:i/>
          <w:sz w:val="24"/>
          <w:szCs w:val="24"/>
        </w:rPr>
      </w:pPr>
      <w:r w:rsidRPr="00874041">
        <w:rPr>
          <w:i/>
          <w:sz w:val="24"/>
          <w:szCs w:val="24"/>
        </w:rPr>
        <w:tab/>
        <w:t>V roce 2009 bylo vydané stavební povolení od Úřadu městského obvodu Plzeň 3 na výstavbu zařízení péče o seniory, Klatovská 90. V rozpočtu města se však nepodařilo najít finanční prostředky na realizaci předmětné stavby.</w:t>
      </w:r>
    </w:p>
    <w:p w:rsidR="00B84331" w:rsidRPr="00874041" w:rsidRDefault="00874041" w:rsidP="00B84331">
      <w:pPr>
        <w:tabs>
          <w:tab w:val="left" w:pos="284"/>
        </w:tabs>
        <w:jc w:val="both"/>
        <w:rPr>
          <w:i/>
          <w:sz w:val="24"/>
          <w:szCs w:val="24"/>
        </w:rPr>
      </w:pPr>
      <w:r>
        <w:rPr>
          <w:i/>
          <w:sz w:val="24"/>
          <w:szCs w:val="24"/>
        </w:rPr>
        <w:tab/>
      </w:r>
      <w:r w:rsidR="00B84331" w:rsidRPr="00874041">
        <w:rPr>
          <w:i/>
          <w:sz w:val="24"/>
          <w:szCs w:val="24"/>
        </w:rPr>
        <w:t xml:space="preserve">Vzhledem k  finanční situaci města a finanční náročnosti projektu (předpokládané náklady na realizaci stavby činily cca 80 mil. Kč v roce 2009) se nepodařilo zajistit finanční prostředky pro realizaci projektu. V souvislosti s touto skutečností byla podána v roce 2012 žádost o dotaci do 5. výzvy ROP NUTS II Jihozápad, avšak projekt v rámci této výzvy nebyl navržen k podpoře. </w:t>
      </w:r>
    </w:p>
    <w:p w:rsidR="00B84331" w:rsidRPr="00874041" w:rsidRDefault="00874041" w:rsidP="00B84331">
      <w:pPr>
        <w:tabs>
          <w:tab w:val="left" w:pos="284"/>
        </w:tabs>
        <w:jc w:val="both"/>
        <w:rPr>
          <w:i/>
          <w:sz w:val="24"/>
          <w:szCs w:val="24"/>
        </w:rPr>
      </w:pPr>
      <w:r>
        <w:rPr>
          <w:i/>
          <w:sz w:val="24"/>
          <w:szCs w:val="24"/>
        </w:rPr>
        <w:tab/>
      </w:r>
      <w:r w:rsidR="00B84331" w:rsidRPr="00874041">
        <w:rPr>
          <w:i/>
          <w:sz w:val="24"/>
          <w:szCs w:val="24"/>
        </w:rPr>
        <w:t xml:space="preserve">Proto na základě výše uvedených skutečností a  faktu, že  město Plzeň podle strategických záměrů města definovaných ve „Střednědobé rozvojové koncepci sociálních služeb v Plzni“ potřebuje reflektovat na aktuální potřeby města a dále rozšiřovat sociální služby pro seniory, požádala paní ředitelka Úřadu služeb obyvatelstvu MMP PhDr. Knížová o prodloužení lhůty realizace uvedeného projektu o 5 let. Dle zkušeností MAJ MMP v dané problematice  </w:t>
      </w:r>
      <w:proofErr w:type="gramStart"/>
      <w:r w:rsidR="00B84331" w:rsidRPr="00874041">
        <w:rPr>
          <w:i/>
          <w:sz w:val="24"/>
          <w:szCs w:val="24"/>
        </w:rPr>
        <w:t>navrhuje MAJ</w:t>
      </w:r>
      <w:proofErr w:type="gramEnd"/>
      <w:r w:rsidR="00B84331" w:rsidRPr="00874041">
        <w:rPr>
          <w:i/>
          <w:sz w:val="24"/>
          <w:szCs w:val="24"/>
        </w:rPr>
        <w:t xml:space="preserve">  prodloužit termín nejméně o 7 let.</w:t>
      </w:r>
    </w:p>
    <w:p w:rsidR="00B84331" w:rsidRPr="00874041" w:rsidRDefault="00B84331" w:rsidP="00B84331">
      <w:pPr>
        <w:pStyle w:val="Odstavecseseznamem"/>
        <w:tabs>
          <w:tab w:val="left" w:pos="284"/>
        </w:tabs>
        <w:spacing w:after="0" w:line="240" w:lineRule="auto"/>
        <w:ind w:left="0"/>
        <w:jc w:val="both"/>
        <w:rPr>
          <w:i/>
          <w:sz w:val="24"/>
          <w:szCs w:val="24"/>
        </w:rPr>
      </w:pPr>
      <w:r w:rsidRPr="00874041">
        <w:rPr>
          <w:rFonts w:ascii="Times New Roman" w:hAnsi="Times New Roman"/>
          <w:i/>
          <w:sz w:val="24"/>
          <w:szCs w:val="24"/>
        </w:rPr>
        <w:tab/>
        <w:t>V případě prodloužení termínu realizace projektu bude možné i nadále usilovat o získání finančních prostředků na realizaci uvedeného projektu (evropské fondy, odvětvové ministerstvo atd.). Projekt byl aktuálně městem zařazen do Strategie ITI plzeňské metropolitní oblasti</w:t>
      </w:r>
      <w:r w:rsidRPr="00874041">
        <w:rPr>
          <w:i/>
          <w:sz w:val="24"/>
          <w:szCs w:val="24"/>
        </w:rPr>
        <w:t>.</w:t>
      </w:r>
    </w:p>
    <w:p w:rsidR="00B84331" w:rsidRDefault="00B84331" w:rsidP="00B84331">
      <w:pPr>
        <w:tabs>
          <w:tab w:val="left" w:pos="284"/>
        </w:tabs>
        <w:jc w:val="both"/>
        <w:rPr>
          <w:i/>
          <w:sz w:val="24"/>
          <w:szCs w:val="24"/>
        </w:rPr>
      </w:pPr>
      <w:r w:rsidRPr="00874041">
        <w:rPr>
          <w:i/>
          <w:szCs w:val="24"/>
        </w:rPr>
        <w:tab/>
      </w:r>
      <w:r w:rsidRPr="00874041">
        <w:rPr>
          <w:i/>
          <w:sz w:val="24"/>
          <w:szCs w:val="24"/>
        </w:rPr>
        <w:t>KNM RMP na svém jednání dne 12. 8. 2014 doporučila RMP souhlasit s uzavřením dodatku č. 2 ke smlouvě o BÚP. R</w:t>
      </w:r>
      <w:r w:rsidR="00874041" w:rsidRPr="00874041">
        <w:rPr>
          <w:i/>
          <w:sz w:val="24"/>
          <w:szCs w:val="24"/>
        </w:rPr>
        <w:t>MP</w:t>
      </w:r>
      <w:r w:rsidRPr="00874041">
        <w:rPr>
          <w:i/>
          <w:sz w:val="24"/>
          <w:szCs w:val="24"/>
        </w:rPr>
        <w:t xml:space="preserve"> svým usnesením č. 954 ze dne 14. 8. 2014 vyslovila souhlas s uzavřením dodatku č. 2 ke smlouvě o BÚP</w:t>
      </w:r>
      <w:r w:rsidR="00874041" w:rsidRPr="00874041">
        <w:rPr>
          <w:i/>
          <w:sz w:val="24"/>
          <w:szCs w:val="24"/>
        </w:rPr>
        <w:t xml:space="preserve"> a následně usnesením ZMP č. 550 ze dne 4. 9. 2014 bylo schváleno uzavření dodatku č. 2 ke smlouvě o BÚP</w:t>
      </w:r>
      <w:r w:rsidRPr="00874041">
        <w:rPr>
          <w:i/>
          <w:sz w:val="24"/>
          <w:szCs w:val="24"/>
        </w:rPr>
        <w:t>.</w:t>
      </w:r>
    </w:p>
    <w:p w:rsidR="00467614" w:rsidRDefault="00467614" w:rsidP="00B84331">
      <w:pPr>
        <w:tabs>
          <w:tab w:val="left" w:pos="284"/>
        </w:tabs>
        <w:jc w:val="both"/>
        <w:rPr>
          <w:sz w:val="24"/>
          <w:szCs w:val="24"/>
        </w:rPr>
      </w:pPr>
    </w:p>
    <w:p w:rsidR="00467614" w:rsidRPr="00467614" w:rsidRDefault="00467614" w:rsidP="00B84331">
      <w:pPr>
        <w:tabs>
          <w:tab w:val="left" w:pos="284"/>
        </w:tabs>
        <w:jc w:val="both"/>
        <w:rPr>
          <w:b/>
          <w:sz w:val="24"/>
          <w:szCs w:val="24"/>
        </w:rPr>
      </w:pPr>
      <w:r>
        <w:rPr>
          <w:sz w:val="24"/>
          <w:szCs w:val="24"/>
        </w:rPr>
        <w:tab/>
        <w:t xml:space="preserve">Usnesením Rady města Plzně č. 261 ze dne 12. 3. 2015 bylo doporučeno změnit usnesení ZMP č. 550 ze dne 9. 4. 2014 ve smyslu bodu II. tohoto usnesení. </w:t>
      </w:r>
    </w:p>
    <w:p w:rsidR="00B84331" w:rsidRDefault="00B84331" w:rsidP="00B84331">
      <w:pPr>
        <w:tabs>
          <w:tab w:val="left" w:pos="284"/>
        </w:tabs>
        <w:jc w:val="both"/>
        <w:rPr>
          <w:b/>
          <w:spacing w:val="22"/>
          <w:sz w:val="24"/>
          <w:szCs w:val="24"/>
        </w:rPr>
      </w:pPr>
      <w:r>
        <w:rPr>
          <w:b/>
          <w:spacing w:val="22"/>
          <w:sz w:val="24"/>
          <w:szCs w:val="24"/>
        </w:rPr>
        <w:tab/>
      </w:r>
    </w:p>
    <w:p w:rsidR="00B84331" w:rsidRDefault="00B84331" w:rsidP="00B84331">
      <w:pPr>
        <w:pStyle w:val="ostzahl"/>
      </w:pPr>
      <w:r>
        <w:t>Předpokládaný cílový stav</w:t>
      </w:r>
    </w:p>
    <w:p w:rsidR="00B84331" w:rsidRPr="00874041" w:rsidRDefault="00B84331" w:rsidP="00B84331">
      <w:pPr>
        <w:pStyle w:val="Odstavecseseznamem"/>
        <w:tabs>
          <w:tab w:val="left" w:pos="284"/>
        </w:tabs>
        <w:spacing w:after="0" w:line="240" w:lineRule="auto"/>
        <w:ind w:left="0"/>
        <w:jc w:val="both"/>
        <w:rPr>
          <w:rFonts w:ascii="Times New Roman" w:hAnsi="Times New Roman"/>
          <w:sz w:val="24"/>
          <w:szCs w:val="24"/>
        </w:rPr>
      </w:pPr>
      <w:r>
        <w:tab/>
      </w:r>
      <w:r w:rsidR="00874041" w:rsidRPr="00874041">
        <w:rPr>
          <w:rFonts w:ascii="Times New Roman" w:hAnsi="Times New Roman"/>
          <w:sz w:val="24"/>
          <w:szCs w:val="24"/>
        </w:rPr>
        <w:t xml:space="preserve">Změna usnesení </w:t>
      </w:r>
      <w:r w:rsidR="00467614">
        <w:rPr>
          <w:rFonts w:ascii="Times New Roman" w:hAnsi="Times New Roman"/>
          <w:sz w:val="24"/>
          <w:szCs w:val="24"/>
        </w:rPr>
        <w:t>Z</w:t>
      </w:r>
      <w:r w:rsidR="00874041" w:rsidRPr="00874041">
        <w:rPr>
          <w:rFonts w:ascii="Times New Roman" w:hAnsi="Times New Roman"/>
          <w:sz w:val="24"/>
          <w:szCs w:val="24"/>
        </w:rPr>
        <w:t>MP č. 5</w:t>
      </w:r>
      <w:r w:rsidR="00467614">
        <w:rPr>
          <w:rFonts w:ascii="Times New Roman" w:hAnsi="Times New Roman"/>
          <w:sz w:val="24"/>
          <w:szCs w:val="24"/>
        </w:rPr>
        <w:t>50</w:t>
      </w:r>
      <w:r w:rsidR="00874041" w:rsidRPr="00874041">
        <w:rPr>
          <w:rFonts w:ascii="Times New Roman" w:hAnsi="Times New Roman"/>
          <w:sz w:val="24"/>
          <w:szCs w:val="24"/>
        </w:rPr>
        <w:t>/2014 ve věci úpravy lhůty pro realizaci výstavby a uvedení do provozu domova důchodců a denního stacionáře pro důchodce.</w:t>
      </w:r>
    </w:p>
    <w:p w:rsidR="00B84331" w:rsidRPr="00874041" w:rsidRDefault="00B84331" w:rsidP="00B84331">
      <w:pPr>
        <w:pStyle w:val="vlevo"/>
        <w:rPr>
          <w:szCs w:val="24"/>
        </w:rPr>
      </w:pPr>
    </w:p>
    <w:p w:rsidR="00B84331" w:rsidRDefault="00B84331" w:rsidP="00B84331">
      <w:pPr>
        <w:pStyle w:val="ostzahl"/>
      </w:pPr>
      <w:r>
        <w:t>Navrhované varianty řešení</w:t>
      </w:r>
    </w:p>
    <w:p w:rsidR="00B84331" w:rsidRDefault="00B84331" w:rsidP="00B84331">
      <w:pPr>
        <w:pStyle w:val="vlevo"/>
      </w:pPr>
      <w:r>
        <w:t xml:space="preserve">Viz návrh usnesení. </w:t>
      </w:r>
    </w:p>
    <w:p w:rsidR="00B84331" w:rsidRDefault="00B84331" w:rsidP="00B84331">
      <w:pPr>
        <w:pStyle w:val="vlevo"/>
      </w:pPr>
    </w:p>
    <w:p w:rsidR="00B84331" w:rsidRDefault="00B84331" w:rsidP="00B84331">
      <w:pPr>
        <w:pStyle w:val="ostzahl"/>
      </w:pPr>
      <w:r>
        <w:t>Doporučená varianta řešení</w:t>
      </w:r>
    </w:p>
    <w:p w:rsidR="00B84331" w:rsidRDefault="00B84331" w:rsidP="00B84331">
      <w:pPr>
        <w:pStyle w:val="Odstavecseseznamem"/>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Viz návrh usnesení.</w:t>
      </w:r>
      <w:r>
        <w:rPr>
          <w:rFonts w:ascii="Times New Roman" w:hAnsi="Times New Roman"/>
          <w:sz w:val="24"/>
          <w:szCs w:val="24"/>
        </w:rPr>
        <w:tab/>
      </w:r>
    </w:p>
    <w:p w:rsidR="00B84331" w:rsidRDefault="00B84331" w:rsidP="00B84331">
      <w:pPr>
        <w:pStyle w:val="Odstavecseseznamem"/>
        <w:tabs>
          <w:tab w:val="left" w:pos="284"/>
        </w:tabs>
        <w:spacing w:after="0" w:line="240" w:lineRule="auto"/>
        <w:ind w:left="0"/>
        <w:jc w:val="both"/>
        <w:rPr>
          <w:rFonts w:ascii="Times New Roman" w:hAnsi="Times New Roman"/>
          <w:sz w:val="24"/>
          <w:szCs w:val="24"/>
        </w:rPr>
      </w:pPr>
    </w:p>
    <w:p w:rsidR="00B84331" w:rsidRDefault="00B84331" w:rsidP="00B84331">
      <w:pPr>
        <w:pStyle w:val="ostzahl"/>
      </w:pPr>
      <w:r>
        <w:lastRenderedPageBreak/>
        <w:t>Finanční nároky řešení a možnosti finančního krytí</w:t>
      </w:r>
    </w:p>
    <w:p w:rsidR="00B84331" w:rsidRDefault="00B84331" w:rsidP="00B84331">
      <w:pPr>
        <w:pStyle w:val="vlevo"/>
      </w:pPr>
      <w:r>
        <w:t xml:space="preserve">Žádné. </w:t>
      </w:r>
    </w:p>
    <w:p w:rsidR="00B84331" w:rsidRDefault="00B84331" w:rsidP="00B84331">
      <w:pPr>
        <w:pStyle w:val="vlevo"/>
      </w:pPr>
    </w:p>
    <w:p w:rsidR="00B84331" w:rsidRDefault="00B84331" w:rsidP="00B84331">
      <w:pPr>
        <w:pStyle w:val="ostzahl"/>
      </w:pPr>
      <w:r>
        <w:t>Návrh termínů realizace a určení zodpovědných pracovníků</w:t>
      </w:r>
    </w:p>
    <w:p w:rsidR="00B84331" w:rsidRDefault="00B84331" w:rsidP="00B84331">
      <w:pPr>
        <w:pStyle w:val="vlevo"/>
      </w:pPr>
      <w:r>
        <w:t>Viz návrh usnesení.</w:t>
      </w:r>
    </w:p>
    <w:p w:rsidR="00B84331" w:rsidRDefault="00B84331" w:rsidP="00B84331">
      <w:pPr>
        <w:pStyle w:val="vlevo"/>
      </w:pPr>
    </w:p>
    <w:p w:rsidR="00B84331" w:rsidRDefault="00B84331" w:rsidP="00B84331">
      <w:pPr>
        <w:pStyle w:val="ostzahl"/>
      </w:pPr>
      <w:r>
        <w:t>Dříve přijatá usnesení orgánů města nebo městských obvodů, která s tímto návrhem souvisejí</w:t>
      </w:r>
    </w:p>
    <w:p w:rsidR="00B84331" w:rsidRDefault="00B84331" w:rsidP="00B84331">
      <w:pPr>
        <w:pStyle w:val="vlevo"/>
      </w:pPr>
      <w:r>
        <w:t>Usnesení ZMP č. 615/2001</w:t>
      </w:r>
    </w:p>
    <w:p w:rsidR="00B84331" w:rsidRDefault="00B84331" w:rsidP="00B84331">
      <w:pPr>
        <w:pStyle w:val="vlevo"/>
      </w:pPr>
      <w:r>
        <w:t>Usnesení ZMP č. 77/2005</w:t>
      </w:r>
    </w:p>
    <w:p w:rsidR="00B84331" w:rsidRDefault="00874041" w:rsidP="00B84331">
      <w:pPr>
        <w:pStyle w:val="vlevo"/>
      </w:pPr>
      <w:r>
        <w:t xml:space="preserve">Doporučení </w:t>
      </w:r>
      <w:r w:rsidR="00B84331">
        <w:t>KNM RMP ze dne 12. 8. 2014</w:t>
      </w:r>
    </w:p>
    <w:p w:rsidR="00874041" w:rsidRDefault="00B84331" w:rsidP="00B84331">
      <w:pPr>
        <w:pStyle w:val="vlevo"/>
      </w:pPr>
      <w:r>
        <w:t>Usnesení RMP č. 954/2014</w:t>
      </w:r>
    </w:p>
    <w:p w:rsidR="00467614" w:rsidRDefault="00874041" w:rsidP="00B84331">
      <w:pPr>
        <w:pStyle w:val="vlevo"/>
      </w:pPr>
      <w:r>
        <w:t>Usnesení ZMP č. 550/</w:t>
      </w:r>
      <w:r w:rsidR="003E2A88">
        <w:t>2014</w:t>
      </w:r>
    </w:p>
    <w:p w:rsidR="00B84331" w:rsidRDefault="00467614" w:rsidP="00B84331">
      <w:pPr>
        <w:pStyle w:val="vlevo"/>
      </w:pPr>
      <w:r>
        <w:t>Usnesení RMP č. 261/2015</w:t>
      </w:r>
      <w:r w:rsidR="00B84331">
        <w:t>.</w:t>
      </w:r>
    </w:p>
    <w:p w:rsidR="00B84331" w:rsidRDefault="00B84331" w:rsidP="00B84331">
      <w:pPr>
        <w:pStyle w:val="vlevo"/>
      </w:pPr>
    </w:p>
    <w:p w:rsidR="00B84331" w:rsidRDefault="00B84331" w:rsidP="00B84331">
      <w:pPr>
        <w:pStyle w:val="ostzahl"/>
      </w:pPr>
      <w:r>
        <w:t>Závazky či pohledávky vůči městu Plzni</w:t>
      </w:r>
    </w:p>
    <w:p w:rsidR="00B84331" w:rsidRDefault="00B84331" w:rsidP="00B84331">
      <w:pPr>
        <w:pStyle w:val="vlevo"/>
      </w:pPr>
      <w:r>
        <w:t>Nešetří se.</w:t>
      </w:r>
    </w:p>
    <w:p w:rsidR="00B84331" w:rsidRDefault="00B84331" w:rsidP="00B84331">
      <w:pPr>
        <w:pStyle w:val="vlevo"/>
      </w:pPr>
    </w:p>
    <w:p w:rsidR="00B84331" w:rsidRDefault="00B84331" w:rsidP="00B84331">
      <w:pPr>
        <w:pStyle w:val="ostzahl"/>
      </w:pPr>
      <w:r>
        <w:t>Přílohy</w:t>
      </w:r>
    </w:p>
    <w:p w:rsidR="00B84331" w:rsidRDefault="00B84331" w:rsidP="00B84331">
      <w:pPr>
        <w:pStyle w:val="vlevo"/>
      </w:pPr>
      <w:r>
        <w:t>Příloha č. 1 – přijatá usnesení</w:t>
      </w:r>
      <w:r w:rsidR="000811E9">
        <w:t xml:space="preserve">: Doporučení KNM RMP, </w:t>
      </w:r>
      <w:r>
        <w:t xml:space="preserve"> </w:t>
      </w:r>
      <w:r w:rsidR="000811E9">
        <w:t xml:space="preserve">RMP a </w:t>
      </w:r>
      <w:r>
        <w:t xml:space="preserve">ZMP </w:t>
      </w:r>
    </w:p>
    <w:p w:rsidR="00B84331" w:rsidRDefault="00B84331" w:rsidP="00B84331">
      <w:pPr>
        <w:pStyle w:val="vlevo"/>
      </w:pPr>
      <w:r>
        <w:t xml:space="preserve">Příloha č. </w:t>
      </w:r>
      <w:r w:rsidR="003E2A88">
        <w:t>2</w:t>
      </w:r>
      <w:r>
        <w:t xml:space="preserve"> – </w:t>
      </w:r>
      <w:r w:rsidR="003E2A88">
        <w:t>sdělení ÚZSVM + návrh dodatku č. 2</w:t>
      </w:r>
    </w:p>
    <w:p w:rsidR="003E2A88" w:rsidRDefault="003E2A88" w:rsidP="00B84331">
      <w:pPr>
        <w:pStyle w:val="vlevo"/>
      </w:pPr>
      <w:r>
        <w:t>Příloha č. 3 – stanovisko ÚSO MMP</w:t>
      </w:r>
    </w:p>
    <w:p w:rsidR="00467614" w:rsidRDefault="00B84331" w:rsidP="00B84331">
      <w:pPr>
        <w:pStyle w:val="vlevo"/>
      </w:pPr>
      <w:r>
        <w:t xml:space="preserve">Příloha č. 4 – katastrální mapy, modrá mapa se zákresem, územní plán, letecký </w:t>
      </w:r>
      <w:r>
        <w:tab/>
      </w:r>
      <w:r>
        <w:tab/>
      </w:r>
      <w:r>
        <w:tab/>
      </w:r>
      <w:r>
        <w:tab/>
        <w:t>snímek, orientační turistická mapa</w:t>
      </w:r>
    </w:p>
    <w:p w:rsidR="00B84331" w:rsidRDefault="00467614" w:rsidP="00B84331">
      <w:pPr>
        <w:pStyle w:val="vlevo"/>
      </w:pPr>
      <w:r>
        <w:t>Příloha č. 5 – usnesení RMP č. 261/2015.</w:t>
      </w:r>
      <w:bookmarkStart w:id="0" w:name="_GoBack"/>
      <w:bookmarkEnd w:id="0"/>
    </w:p>
    <w:p w:rsidR="00B84331" w:rsidRDefault="00B84331" w:rsidP="00B84331">
      <w:pPr>
        <w:pStyle w:val="vlevo"/>
      </w:pPr>
    </w:p>
    <w:p w:rsidR="00B84331" w:rsidRDefault="00B84331" w:rsidP="00B84331">
      <w:pPr>
        <w:pStyle w:val="vlevo"/>
      </w:pPr>
    </w:p>
    <w:p w:rsidR="00B84331" w:rsidRDefault="00B84331" w:rsidP="00B84331">
      <w:pPr>
        <w:pStyle w:val="vlevo"/>
      </w:pPr>
    </w:p>
    <w:p w:rsidR="00B84331" w:rsidRDefault="00B84331" w:rsidP="00B84331">
      <w:pPr>
        <w:pStyle w:val="vlevo"/>
      </w:pPr>
    </w:p>
    <w:p w:rsidR="00B84331" w:rsidRDefault="00B84331" w:rsidP="00B84331"/>
    <w:p w:rsidR="00763863" w:rsidRDefault="00467614"/>
    <w:sectPr w:rsidR="0076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20B"/>
    <w:multiLevelType w:val="hybridMultilevel"/>
    <w:tmpl w:val="6F8CD79A"/>
    <w:lvl w:ilvl="0" w:tplc="BC96371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7A2FD4"/>
    <w:multiLevelType w:val="singleLevel"/>
    <w:tmpl w:val="C9683AD8"/>
    <w:lvl w:ilvl="0">
      <w:start w:val="1"/>
      <w:numFmt w:val="decimal"/>
      <w:pStyle w:val="ostzahl"/>
      <w:lvlText w:val="%1."/>
      <w:lvlJc w:val="left"/>
      <w:pPr>
        <w:tabs>
          <w:tab w:val="num" w:pos="360"/>
        </w:tabs>
        <w:ind w:left="357" w:hanging="357"/>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31"/>
    <w:rsid w:val="000811E9"/>
    <w:rsid w:val="003A4CF3"/>
    <w:rsid w:val="003E2A88"/>
    <w:rsid w:val="00467614"/>
    <w:rsid w:val="004901A9"/>
    <w:rsid w:val="00874041"/>
    <w:rsid w:val="00B84331"/>
    <w:rsid w:val="00DD5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33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331"/>
    <w:pPr>
      <w:spacing w:after="200" w:line="276" w:lineRule="auto"/>
      <w:ind w:left="720"/>
      <w:contextualSpacing/>
    </w:pPr>
    <w:rPr>
      <w:rFonts w:ascii="Calibri" w:eastAsia="Calibri" w:hAnsi="Calibri"/>
      <w:sz w:val="22"/>
      <w:szCs w:val="22"/>
      <w:lang w:eastAsia="en-US"/>
    </w:rPr>
  </w:style>
  <w:style w:type="character" w:customStyle="1" w:styleId="vlevoChar">
    <w:name w:val="vlevo Char"/>
    <w:link w:val="vlevo"/>
    <w:locked/>
    <w:rsid w:val="00B84331"/>
    <w:rPr>
      <w:rFonts w:ascii="Times New Roman" w:hAnsi="Times New Roman" w:cs="Times New Roman"/>
      <w:sz w:val="24"/>
    </w:rPr>
  </w:style>
  <w:style w:type="paragraph" w:customStyle="1" w:styleId="vlevo">
    <w:name w:val="vlevo"/>
    <w:basedOn w:val="Normln"/>
    <w:link w:val="vlevoChar"/>
    <w:autoRedefine/>
    <w:rsid w:val="00B84331"/>
    <w:pPr>
      <w:tabs>
        <w:tab w:val="left" w:pos="-142"/>
        <w:tab w:val="left" w:pos="0"/>
        <w:tab w:val="left" w:pos="284"/>
        <w:tab w:val="left" w:pos="1276"/>
      </w:tabs>
      <w:jc w:val="both"/>
    </w:pPr>
    <w:rPr>
      <w:rFonts w:eastAsiaTheme="minorHAnsi"/>
      <w:sz w:val="24"/>
      <w:szCs w:val="22"/>
      <w:lang w:eastAsia="en-US"/>
    </w:rPr>
  </w:style>
  <w:style w:type="paragraph" w:customStyle="1" w:styleId="ostzahl">
    <w:name w:val="ostzahl"/>
    <w:basedOn w:val="Normln"/>
    <w:next w:val="vlevo"/>
    <w:autoRedefine/>
    <w:rsid w:val="00B84331"/>
    <w:pPr>
      <w:numPr>
        <w:numId w:val="1"/>
      </w:numPr>
      <w:spacing w:before="120" w:after="120"/>
    </w:pPr>
    <w:rPr>
      <w:b/>
      <w:spacing w:val="22"/>
      <w:sz w:val="24"/>
    </w:rPr>
  </w:style>
  <w:style w:type="paragraph" w:customStyle="1" w:styleId="nadpcent">
    <w:name w:val="nadpcent"/>
    <w:basedOn w:val="Normln"/>
    <w:next w:val="Normln"/>
    <w:autoRedefine/>
    <w:rsid w:val="00B84331"/>
    <w:pPr>
      <w:spacing w:before="600" w:after="480"/>
      <w:jc w:val="center"/>
    </w:pPr>
    <w:rPr>
      <w:b/>
      <w:caps/>
      <w:spacing w:val="22"/>
      <w:sz w:val="24"/>
      <w:lang w:val="en-AU"/>
    </w:rPr>
  </w:style>
  <w:style w:type="paragraph" w:styleId="Textbubliny">
    <w:name w:val="Balloon Text"/>
    <w:basedOn w:val="Normln"/>
    <w:link w:val="TextbublinyChar"/>
    <w:uiPriority w:val="99"/>
    <w:semiHidden/>
    <w:unhideWhenUsed/>
    <w:rsid w:val="003A4CF3"/>
    <w:rPr>
      <w:rFonts w:ascii="Tahoma" w:hAnsi="Tahoma" w:cs="Tahoma"/>
      <w:sz w:val="16"/>
      <w:szCs w:val="16"/>
    </w:rPr>
  </w:style>
  <w:style w:type="character" w:customStyle="1" w:styleId="TextbublinyChar">
    <w:name w:val="Text bubliny Char"/>
    <w:basedOn w:val="Standardnpsmoodstavce"/>
    <w:link w:val="Textbubliny"/>
    <w:uiPriority w:val="99"/>
    <w:semiHidden/>
    <w:rsid w:val="003A4CF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33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331"/>
    <w:pPr>
      <w:spacing w:after="200" w:line="276" w:lineRule="auto"/>
      <w:ind w:left="720"/>
      <w:contextualSpacing/>
    </w:pPr>
    <w:rPr>
      <w:rFonts w:ascii="Calibri" w:eastAsia="Calibri" w:hAnsi="Calibri"/>
      <w:sz w:val="22"/>
      <w:szCs w:val="22"/>
      <w:lang w:eastAsia="en-US"/>
    </w:rPr>
  </w:style>
  <w:style w:type="character" w:customStyle="1" w:styleId="vlevoChar">
    <w:name w:val="vlevo Char"/>
    <w:link w:val="vlevo"/>
    <w:locked/>
    <w:rsid w:val="00B84331"/>
    <w:rPr>
      <w:rFonts w:ascii="Times New Roman" w:hAnsi="Times New Roman" w:cs="Times New Roman"/>
      <w:sz w:val="24"/>
    </w:rPr>
  </w:style>
  <w:style w:type="paragraph" w:customStyle="1" w:styleId="vlevo">
    <w:name w:val="vlevo"/>
    <w:basedOn w:val="Normln"/>
    <w:link w:val="vlevoChar"/>
    <w:autoRedefine/>
    <w:rsid w:val="00B84331"/>
    <w:pPr>
      <w:tabs>
        <w:tab w:val="left" w:pos="-142"/>
        <w:tab w:val="left" w:pos="0"/>
        <w:tab w:val="left" w:pos="284"/>
        <w:tab w:val="left" w:pos="1276"/>
      </w:tabs>
      <w:jc w:val="both"/>
    </w:pPr>
    <w:rPr>
      <w:rFonts w:eastAsiaTheme="minorHAnsi"/>
      <w:sz w:val="24"/>
      <w:szCs w:val="22"/>
      <w:lang w:eastAsia="en-US"/>
    </w:rPr>
  </w:style>
  <w:style w:type="paragraph" w:customStyle="1" w:styleId="ostzahl">
    <w:name w:val="ostzahl"/>
    <w:basedOn w:val="Normln"/>
    <w:next w:val="vlevo"/>
    <w:autoRedefine/>
    <w:rsid w:val="00B84331"/>
    <w:pPr>
      <w:numPr>
        <w:numId w:val="1"/>
      </w:numPr>
      <w:spacing w:before="120" w:after="120"/>
    </w:pPr>
    <w:rPr>
      <w:b/>
      <w:spacing w:val="22"/>
      <w:sz w:val="24"/>
    </w:rPr>
  </w:style>
  <w:style w:type="paragraph" w:customStyle="1" w:styleId="nadpcent">
    <w:name w:val="nadpcent"/>
    <w:basedOn w:val="Normln"/>
    <w:next w:val="Normln"/>
    <w:autoRedefine/>
    <w:rsid w:val="00B84331"/>
    <w:pPr>
      <w:spacing w:before="600" w:after="480"/>
      <w:jc w:val="center"/>
    </w:pPr>
    <w:rPr>
      <w:b/>
      <w:caps/>
      <w:spacing w:val="22"/>
      <w:sz w:val="24"/>
      <w:lang w:val="en-AU"/>
    </w:rPr>
  </w:style>
  <w:style w:type="paragraph" w:styleId="Textbubliny">
    <w:name w:val="Balloon Text"/>
    <w:basedOn w:val="Normln"/>
    <w:link w:val="TextbublinyChar"/>
    <w:uiPriority w:val="99"/>
    <w:semiHidden/>
    <w:unhideWhenUsed/>
    <w:rsid w:val="003A4CF3"/>
    <w:rPr>
      <w:rFonts w:ascii="Tahoma" w:hAnsi="Tahoma" w:cs="Tahoma"/>
      <w:sz w:val="16"/>
      <w:szCs w:val="16"/>
    </w:rPr>
  </w:style>
  <w:style w:type="character" w:customStyle="1" w:styleId="TextbublinyChar">
    <w:name w:val="Text bubliny Char"/>
    <w:basedOn w:val="Standardnpsmoodstavce"/>
    <w:link w:val="Textbubliny"/>
    <w:uiPriority w:val="99"/>
    <w:semiHidden/>
    <w:rsid w:val="003A4CF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981</Words>
  <Characters>5788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4</cp:revision>
  <cp:lastPrinted>2015-03-24T15:31:00Z</cp:lastPrinted>
  <dcterms:created xsi:type="dcterms:W3CDTF">2015-02-26T08:40:00Z</dcterms:created>
  <dcterms:modified xsi:type="dcterms:W3CDTF">2015-03-24T15:32:00Z</dcterms:modified>
</cp:coreProperties>
</file>