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3D64" w:rsidRDefault="00F43D64" w:rsidP="00F43D64"/>
    <w:p w:rsidR="00F43D64" w:rsidRDefault="00F43D64" w:rsidP="00F43D64">
      <w:pPr>
        <w:pStyle w:val="Nadpis3"/>
      </w:pPr>
      <w:r>
        <w:t>Důvodová zpráva</w:t>
      </w:r>
    </w:p>
    <w:p w:rsidR="00F43D64" w:rsidRDefault="00F43D64" w:rsidP="00F43D64">
      <w:pPr>
        <w:jc w:val="center"/>
      </w:pPr>
    </w:p>
    <w:p w:rsidR="00F43D64" w:rsidRDefault="00F43D64" w:rsidP="00F43D64">
      <w:pPr>
        <w:pStyle w:val="ostzahl"/>
      </w:pPr>
      <w:r>
        <w:t>Název problému a jeho charakteristika</w:t>
      </w:r>
    </w:p>
    <w:p w:rsidR="00F43D64" w:rsidRDefault="00F43D64" w:rsidP="00F43D64">
      <w:pPr>
        <w:pStyle w:val="vlevo"/>
        <w:ind w:firstLine="708"/>
      </w:pPr>
      <w:r>
        <w:t>Uzavření kupní smlouvy na odkoupení podílu na pozemku parc.č. 1850/1, k.ú. Valcha, ve výši 1/30 k celku, do majetku města Plzně od paní Růženy Horváthové v souvislosti  s realizací investiční akce Odboru investic MMP - stavbou „Dešťová kanalizace a komunikace Valcha – část Černý most“.</w:t>
      </w:r>
    </w:p>
    <w:p w:rsidR="00F43D64" w:rsidRDefault="00F43D64" w:rsidP="00F43D64">
      <w:pPr>
        <w:pStyle w:val="ostzahl"/>
      </w:pPr>
      <w:r>
        <w:t>Konstatování současného stavu a jeho analýza</w:t>
      </w:r>
    </w:p>
    <w:p w:rsidR="00F43D64" w:rsidRDefault="00F43D64" w:rsidP="00F43D64">
      <w:pPr>
        <w:pStyle w:val="vlevo"/>
        <w:ind w:firstLine="708"/>
      </w:pPr>
      <w:r>
        <w:t>Na stavbu „Dešťová kanalizace a komunikace Valcha – část Černý most“ je vydané územní rozhodnutí č. 4545 ze dne 25. 5. 2010, nabytí právní moci dne 30. 6. 2010, prodloužení platnosti územního rozhodnutí č. 4545 ze dne 19. 10. 2012, nabytí právní moci dne 22. 11. 2012, změna územního rozhodnutí č. 4545/A ze dne 14. 8. 2013, nabytí právní moci 19. 9. 2013.</w:t>
      </w:r>
    </w:p>
    <w:p w:rsidR="00F43D64" w:rsidRDefault="00F43D64" w:rsidP="00F43D64">
      <w:pPr>
        <w:pStyle w:val="Normln-Iva"/>
        <w:rPr>
          <w:strike/>
        </w:rPr>
      </w:pPr>
      <w:r>
        <w:t xml:space="preserve">Účelem stavby je zlepšit stávající stav nezpevněných komunikací provedením nové konstrukce vozovky a doplněním stávajících komunikací o prvky umožňující komunikace zařadit do funkčních skupin. </w:t>
      </w:r>
      <w:r>
        <w:rPr>
          <w:rFonts w:cs="Arial"/>
          <w:szCs w:val="24"/>
        </w:rPr>
        <w:t xml:space="preserve">Konkrétně se jedná o následující ulice: Dobřanská – část, U Hájovny – celá, Lhotská – celá, Východní – celá, U Čertovy díry – celá, U Černého mostu – celá a bezejmenné ulice, které navazují na ulici U Čertovy díry a nacházejí se na katastrálním území Litice u Plzně. Všechny tyto ulice se nacházejí v souvisle zastavěné části města, pouze některé kratší trasy napojení dešťové kanalizace do stávajících vodotečí se nachází na jejím okraji. </w:t>
      </w:r>
      <w:r>
        <w:rPr>
          <w:rFonts w:cs="Arial"/>
          <w:szCs w:val="22"/>
        </w:rPr>
        <w:t xml:space="preserve">Dešťová voda bude odvedena kanalizací a nebude již nikde vtékat na přilehlé soukromé pozemky, jak se tomu stávalo na mnohých místech nyní. </w:t>
      </w:r>
      <w:r>
        <w:rPr>
          <w:rFonts w:cs="Arial"/>
          <w:szCs w:val="24"/>
        </w:rPr>
        <w:t xml:space="preserve">Veškeré stavby jsou navržené jako stavby trvalé. Všechny úpravy komunikací budou rekonstrukcemi. Kanalizace je v celém rozsahu novostavbou. </w:t>
      </w:r>
      <w:r>
        <w:rPr>
          <w:szCs w:val="24"/>
        </w:rPr>
        <w:t>Stávající a nově vzniklé plochy zeleně budou zatravněny a osazeny vegetací.</w:t>
      </w:r>
    </w:p>
    <w:p w:rsidR="00F43D64" w:rsidRDefault="00F43D64" w:rsidP="00F43D64">
      <w:pPr>
        <w:pStyle w:val="vlevo"/>
        <w:ind w:firstLine="708"/>
      </w:pPr>
      <w:r>
        <w:t>Pro vydání stavebního povolení je nutné majetkově vypořádat pozemky dotčené trvalým a dočasným záborem uvedené stavby.</w:t>
      </w:r>
    </w:p>
    <w:p w:rsidR="00F43D64" w:rsidRDefault="00F43D64" w:rsidP="00F43D64">
      <w:pPr>
        <w:pStyle w:val="vlevo"/>
        <w:ind w:firstLine="708"/>
      </w:pPr>
      <w:r>
        <w:t>Odbor investic požádal odbor rozvoje a plánování (dále jen ORP) o vydání souhrnného stanoviska k majetkoprávnímu vypořádání na výše uvedenou stavbu (příloha č. 1) a předal odboru nabývání majetku (dále jen MAJ) podklady k zajištění majetkoprávního vypořádání pozemků dotčených výše uvedenou stavbou.</w:t>
      </w:r>
    </w:p>
    <w:p w:rsidR="00F43D64" w:rsidRDefault="00F43D64" w:rsidP="00F43D64">
      <w:pPr>
        <w:tabs>
          <w:tab w:val="left" w:pos="3969"/>
        </w:tabs>
        <w:jc w:val="both"/>
        <w:rPr>
          <w:highlight w:val="yellow"/>
        </w:rPr>
      </w:pPr>
      <w:r>
        <w:rPr>
          <w:sz w:val="24"/>
          <w:szCs w:val="24"/>
        </w:rPr>
        <w:t>Dle projektové dokumentace a záborového elaborátu bude trvalým záborem dotčen mj. i pozemek parc.č. 1850/1 o výměře 2707 m</w:t>
      </w:r>
      <w:r>
        <w:rPr>
          <w:sz w:val="24"/>
          <w:szCs w:val="24"/>
          <w:vertAlign w:val="superscript"/>
        </w:rPr>
        <w:t>2</w:t>
      </w:r>
      <w:r>
        <w:rPr>
          <w:sz w:val="24"/>
          <w:szCs w:val="24"/>
        </w:rPr>
        <w:t>, ost. plocha, ost. komunikace, k.ú. Valcha. Město Plzeň je vlastníkem většinového podílu ve výši  15/20. Zbývající spoluvlastnické podíly jsou ve spoluvlastnictví 5 fyzických osob.</w:t>
      </w:r>
      <w:r>
        <w:rPr>
          <w:sz w:val="24"/>
          <w:szCs w:val="24"/>
        </w:rPr>
        <w:tab/>
        <w:t>Vzhledem k tomu, že se jedná o pozemek pod ul. Východní, výkupem zbývajících podílů by zároveň došlo ke sjednocení vlastnictví komunikace a pozemku.</w:t>
      </w:r>
    </w:p>
    <w:p w:rsidR="00F43D64" w:rsidRDefault="00F43D64" w:rsidP="00F43D64">
      <w:pPr>
        <w:pStyle w:val="vlevo"/>
        <w:ind w:firstLine="708"/>
      </w:pPr>
      <w:r>
        <w:t>ORP ve svém souhrnném stanovisku k majetkoprávnímu vypořádání výše uvedené stavby č.j. MMP/239158/13 ze dne 24. 4. 2014 (příloha č. 3) souhlasí mj. s výkupem spoluvlastnických podílů na pozemku parc.č. 1850/1, k.ú. Valcha, do majetku města Plzně.</w:t>
      </w:r>
    </w:p>
    <w:p w:rsidR="00F43D64" w:rsidRDefault="00F43D64" w:rsidP="00F43D64">
      <w:pPr>
        <w:spacing w:line="260" w:lineRule="exact"/>
        <w:ind w:firstLine="708"/>
        <w:jc w:val="both"/>
        <w:rPr>
          <w:rFonts w:cs="Arial"/>
          <w:sz w:val="24"/>
          <w:szCs w:val="24"/>
        </w:rPr>
      </w:pPr>
      <w:r>
        <w:rPr>
          <w:rFonts w:cs="Arial"/>
          <w:sz w:val="24"/>
          <w:szCs w:val="24"/>
        </w:rPr>
        <w:t xml:space="preserve">Dle aktuálního stavu souhlasí s výkupem svého podílu 2 spoluvlastníci (podíly 1/10 a 1/30) a 2 spoluvlastníci (podíly 1/40 a 2/30) upřednostňují uzavřít smlouvu o smlouvě budoucí o zřízení věcného břemene,  1 spoluvlastník (podíl 1/40) má dle listu vlastnictví čl. 1085 pro k.ú. Valcha svůj podíl zatížen zástavním právem exekutorským a nemůže se svým podílem nyní nijak nakládat. </w:t>
      </w:r>
    </w:p>
    <w:p w:rsidR="00F43D64" w:rsidRDefault="00F43D64" w:rsidP="00F43D64">
      <w:pPr>
        <w:pStyle w:val="vlevo"/>
        <w:ind w:firstLine="708"/>
      </w:pPr>
      <w:r>
        <w:rPr>
          <w:rFonts w:cs="Arial"/>
          <w:szCs w:val="24"/>
        </w:rPr>
        <w:t xml:space="preserve">Postup majetkoprávního vypořádání pozemku parc.č. 1850/1, k.ú. Valcha, ze strany MAJ je takový, že projedná v orgánech města výkupy od 2 souhlasících fyzických osob, neboť podíly lze vykupovat samostatnými smlouvami. Město Plzeň tak zvýší svůj podíl na </w:t>
      </w:r>
      <w:r>
        <w:rPr>
          <w:rFonts w:cs="Arial"/>
          <w:szCs w:val="24"/>
        </w:rPr>
        <w:lastRenderedPageBreak/>
        <w:t>pozemku. Možnost uzavření smlouvy budoucí o zřízení věcného břemene se zbývajícími 3 fyzickými osobami zůstává stále v jednání, ale záleží na vyřešení podílu zatíženém exekucí.</w:t>
      </w:r>
    </w:p>
    <w:p w:rsidR="00F43D64" w:rsidRDefault="00F43D64" w:rsidP="00F43D64">
      <w:pPr>
        <w:pStyle w:val="vlevo"/>
        <w:ind w:firstLine="708"/>
      </w:pPr>
    </w:p>
    <w:p w:rsidR="00F43D64" w:rsidRDefault="00F43D64" w:rsidP="00F43D64">
      <w:pPr>
        <w:pStyle w:val="vlevo"/>
        <w:ind w:firstLine="708"/>
      </w:pPr>
      <w:r>
        <w:t>Jedním ze spoluvlastníků pozemku parc.č. 1850/1, k.ú. Valcha, který souhlasí s výkupem svého podílu ve výši 1/30 za smluvní kupní cenu 800,- Kč/m</w:t>
      </w:r>
      <w:r>
        <w:rPr>
          <w:vertAlign w:val="superscript"/>
        </w:rPr>
        <w:t>2</w:t>
      </w:r>
      <w:r>
        <w:t xml:space="preserve">,  tzn. celkem za 72 187,- Kč,  je paní Růžena Horváthová, bytem Východní 13b, Plzeň. Sjednaná kupní cena je cenou obvyklou dle znaleckého posudku vypracovaného znalcem p. Vladislavem Titlem. </w:t>
      </w:r>
    </w:p>
    <w:p w:rsidR="00F43D64" w:rsidRDefault="00F43D64" w:rsidP="00F43D64">
      <w:pPr>
        <w:pStyle w:val="vlevo"/>
        <w:ind w:firstLine="708"/>
      </w:pPr>
      <w:r>
        <w:t xml:space="preserve"> </w:t>
      </w:r>
      <w:r w:rsidRPr="00640ABF">
        <w:t xml:space="preserve">Daň z nabytí nemovitých věcí bude uhrazena dle zákonného opatření Senátu 340/2013 Sb., o dani z nabytí nemovité věci. </w:t>
      </w:r>
      <w:r>
        <w:t>Paní Horváthová souhlasí s tím, že město Plzeň jí uhradí kupní cenu poníženou o částku odpovídající výši daně z nabytí nemovitých věcí (4 % ze sjednané částky – konkrétně o částku 2 888,- Kč). Město Plzeň se zavazuje, že provede úhradu daně Finančnímu úřadu do pěti pracovních dní po předložení kopie daňového přiznání prodávající. Prodávající je povinna předložit daňové přiznání nejpozději do 10 pracovních dnů před uplynutím třetího kalendářního měsíce následujícího po kalendářním měsíci, v němž byl v katastru nemovitostí proveden vklad vlastnického práva k nemovité věci.</w:t>
      </w:r>
    </w:p>
    <w:p w:rsidR="00F43D64" w:rsidRDefault="00F43D64" w:rsidP="00F43D64">
      <w:pPr>
        <w:pStyle w:val="vlevo"/>
        <w:ind w:firstLine="708"/>
      </w:pPr>
      <w:r>
        <w:t>Zdrojem finančního krytí bude rozpočet MAJ MMP.</w:t>
      </w:r>
    </w:p>
    <w:p w:rsidR="00F43D64" w:rsidRDefault="00F43D64" w:rsidP="00F43D64">
      <w:pPr>
        <w:pStyle w:val="vlevo"/>
        <w:rPr>
          <w:color w:val="FF0000"/>
        </w:rPr>
      </w:pPr>
      <w:r>
        <w:tab/>
        <w:t>Získaný podíl na pozemku bude svěřen do správy SVSMP.</w:t>
      </w:r>
    </w:p>
    <w:p w:rsidR="00F43D64" w:rsidRDefault="00F43D64" w:rsidP="00F43D64">
      <w:pPr>
        <w:pStyle w:val="vlevo"/>
        <w:ind w:firstLine="708"/>
      </w:pPr>
    </w:p>
    <w:p w:rsidR="00F43D64" w:rsidRDefault="00F43D64" w:rsidP="00F43D64">
      <w:pPr>
        <w:pStyle w:val="vlevo"/>
        <w:ind w:firstLine="708"/>
      </w:pPr>
      <w:r>
        <w:t>Přesná specifikace výkupu je uvedena v</w:t>
      </w:r>
      <w:r w:rsidR="0018197C">
        <w:t> návrhu usnesení v bodě II. Schvaluje</w:t>
      </w:r>
      <w:bookmarkStart w:id="0" w:name="_GoBack"/>
      <w:bookmarkEnd w:id="0"/>
      <w:r>
        <w:t>.</w:t>
      </w:r>
    </w:p>
    <w:p w:rsidR="000002E2" w:rsidRDefault="000002E2" w:rsidP="00F43D64">
      <w:pPr>
        <w:pStyle w:val="vlevo"/>
        <w:ind w:firstLine="708"/>
      </w:pPr>
    </w:p>
    <w:p w:rsidR="000002E2" w:rsidRDefault="000002E2" w:rsidP="00F43D64">
      <w:pPr>
        <w:pStyle w:val="vlevo"/>
        <w:ind w:firstLine="708"/>
      </w:pPr>
      <w:r>
        <w:t>KNM 17. 3. 2015 doporučila RMP souhlasit s výkupem podílu ve výši 1/30 k celku pozemku parc.č. 1850/1, k.ú. Valcha (příloha č. 5).</w:t>
      </w:r>
    </w:p>
    <w:p w:rsidR="000D6F23" w:rsidRDefault="000D6F23" w:rsidP="00F43D64">
      <w:pPr>
        <w:pStyle w:val="vlevo"/>
        <w:ind w:firstLine="708"/>
      </w:pPr>
      <w:r>
        <w:t>RMP 16. 4. 2015 přijala usnesení č. 396, kterým souhlasí s výkupem podílu ve výši 1/30 k celku pozemku parc.č. 1850/1, k.ú. Valcha (příloha č. 6).</w:t>
      </w:r>
    </w:p>
    <w:p w:rsidR="00F43D64" w:rsidRDefault="00F43D64" w:rsidP="00F43D64">
      <w:pPr>
        <w:pStyle w:val="vlevo"/>
        <w:ind w:firstLine="708"/>
      </w:pPr>
    </w:p>
    <w:p w:rsidR="00F43D64" w:rsidRDefault="00F43D64" w:rsidP="00F43D64">
      <w:pPr>
        <w:pStyle w:val="ostzahl"/>
      </w:pPr>
      <w:r>
        <w:t>Předpokládaný cílový stav</w:t>
      </w:r>
    </w:p>
    <w:p w:rsidR="00F43D64" w:rsidRDefault="00F43D64" w:rsidP="00F43D64">
      <w:pPr>
        <w:pStyle w:val="vlevo"/>
        <w:ind w:firstLine="708"/>
        <w:rPr>
          <w:highlight w:val="yellow"/>
        </w:rPr>
      </w:pPr>
      <w:r>
        <w:t>Získáním podílu 1/30 na pozemku parc.č. 1850/1,  k.ú. Valcha, se zvětší většinový podíl města Plzně k celku pozemku. Tento výkup podílu je dalším krokem města Plzně k majetkoprávnímu vypořádání pozemku pro realizaci stavby „Dešťová kanalizace a komunikace Valcha – část Černý most“ a zároveň také ke scelení vlastnictví místní komunikace a pozemku.</w:t>
      </w:r>
    </w:p>
    <w:p w:rsidR="00F43D64" w:rsidRDefault="00F43D64" w:rsidP="00F43D64">
      <w:pPr>
        <w:pStyle w:val="ostzahl"/>
      </w:pPr>
      <w:r>
        <w:t>Navrhované varianty řešení</w:t>
      </w:r>
    </w:p>
    <w:p w:rsidR="00F43D64" w:rsidRDefault="00F43D64" w:rsidP="00F43D64">
      <w:pPr>
        <w:pStyle w:val="vlevo"/>
        <w:ind w:firstLine="708"/>
        <w:rPr>
          <w:highlight w:val="yellow"/>
        </w:rPr>
      </w:pPr>
      <w:r>
        <w:t xml:space="preserve">Viz </w:t>
      </w:r>
      <w:r w:rsidR="00BD5B43">
        <w:t>návrh usnesení</w:t>
      </w:r>
      <w:r>
        <w:t>.</w:t>
      </w:r>
    </w:p>
    <w:p w:rsidR="00F43D64" w:rsidRDefault="00F43D64" w:rsidP="00F43D64">
      <w:pPr>
        <w:pStyle w:val="ostzahl"/>
      </w:pPr>
      <w:r>
        <w:t>Doporučená varianta řešení</w:t>
      </w:r>
    </w:p>
    <w:p w:rsidR="00F43D64" w:rsidRDefault="00BD5B43" w:rsidP="00BD5B43">
      <w:pPr>
        <w:pStyle w:val="vlevo"/>
        <w:ind w:firstLine="708"/>
      </w:pPr>
      <w:r>
        <w:t>Viz návrh usnesení.</w:t>
      </w:r>
    </w:p>
    <w:p w:rsidR="00F43D64" w:rsidRDefault="00F43D64" w:rsidP="00F43D64">
      <w:pPr>
        <w:pStyle w:val="ostzahl"/>
      </w:pPr>
      <w:r>
        <w:t>Finanční nároky řešení a možnosti finančního krytí</w:t>
      </w:r>
    </w:p>
    <w:p w:rsidR="00F43D64" w:rsidRDefault="00F43D64" w:rsidP="00F43D64">
      <w:pPr>
        <w:pStyle w:val="vlevo"/>
        <w:ind w:firstLine="708"/>
        <w:rPr>
          <w:highlight w:val="yellow"/>
        </w:rPr>
      </w:pPr>
      <w:r>
        <w:t xml:space="preserve">Úhrada kupní ceny 72 187,- Kč z rozpočtu Odboru nabývání majetku MMP. Náklady spojené s vkladem do katastru nemovitostí. </w:t>
      </w:r>
    </w:p>
    <w:p w:rsidR="00F43D64" w:rsidRDefault="00F43D64" w:rsidP="00F43D64">
      <w:pPr>
        <w:pStyle w:val="ostzahl"/>
      </w:pPr>
      <w:r>
        <w:t>Návrh termínů realizace a určení zodpovědných pracovníků</w:t>
      </w:r>
    </w:p>
    <w:p w:rsidR="00F43D64" w:rsidRDefault="000002E2" w:rsidP="00292787">
      <w:pPr>
        <w:pStyle w:val="vlevo"/>
        <w:ind w:firstLine="708"/>
      </w:pPr>
      <w:r>
        <w:t>Viz návrh usnesení.</w:t>
      </w:r>
    </w:p>
    <w:p w:rsidR="00F43D64" w:rsidRDefault="00F43D64" w:rsidP="00F43D64">
      <w:pPr>
        <w:pStyle w:val="ostzahl"/>
      </w:pPr>
      <w:r>
        <w:t>Dříve přijatá usnesení orgánů města nebo městských obvodů, která s tímto návrhem souvisejí</w:t>
      </w:r>
    </w:p>
    <w:p w:rsidR="00F43D64" w:rsidRDefault="000002E2" w:rsidP="00F43D64">
      <w:pPr>
        <w:pStyle w:val="vlevo"/>
        <w:ind w:firstLine="708"/>
      </w:pPr>
      <w:r>
        <w:t>Doporučení KNM ze dne 17. 3. 2015</w:t>
      </w:r>
      <w:r w:rsidR="00F43D64">
        <w:t>.</w:t>
      </w:r>
    </w:p>
    <w:p w:rsidR="000D6F23" w:rsidRDefault="000D6F23" w:rsidP="00F43D64">
      <w:pPr>
        <w:pStyle w:val="vlevo"/>
        <w:ind w:firstLine="708"/>
      </w:pPr>
      <w:r>
        <w:t>Usn. RMP č. 396 ze dne 16. 4. 2015.</w:t>
      </w:r>
    </w:p>
    <w:p w:rsidR="000D6F23" w:rsidRDefault="000D6F23" w:rsidP="00F43D64">
      <w:pPr>
        <w:pStyle w:val="vlevo"/>
        <w:ind w:firstLine="708"/>
        <w:rPr>
          <w:highlight w:val="yellow"/>
        </w:rPr>
      </w:pPr>
    </w:p>
    <w:p w:rsidR="00F43D64" w:rsidRDefault="00F43D64" w:rsidP="00F43D64">
      <w:pPr>
        <w:pStyle w:val="ostzahl"/>
      </w:pPr>
      <w:r>
        <w:lastRenderedPageBreak/>
        <w:t>Závazky a pohledávky vůči městu Plzeň</w:t>
      </w:r>
    </w:p>
    <w:p w:rsidR="00F43D64" w:rsidRDefault="00F43D64" w:rsidP="00F43D64">
      <w:pPr>
        <w:pStyle w:val="vlevo"/>
        <w:ind w:firstLine="708"/>
      </w:pPr>
      <w:r>
        <w:t xml:space="preserve">Prodávající nemají ke dni </w:t>
      </w:r>
      <w:r w:rsidR="004E6C8E">
        <w:t xml:space="preserve">31. 3. </w:t>
      </w:r>
      <w:r>
        <w:t>2015 žádné závazky či pohledávky vůči městu Plzni.</w:t>
      </w:r>
    </w:p>
    <w:p w:rsidR="00292787" w:rsidRDefault="00292787" w:rsidP="00F43D64">
      <w:pPr>
        <w:pStyle w:val="vlevo"/>
        <w:ind w:firstLine="708"/>
      </w:pPr>
    </w:p>
    <w:p w:rsidR="00F43D64" w:rsidRDefault="00F43D64" w:rsidP="00F43D64">
      <w:pPr>
        <w:pStyle w:val="ostzahl"/>
      </w:pPr>
      <w:r>
        <w:t>Přílohy</w:t>
      </w:r>
    </w:p>
    <w:p w:rsidR="00F43D64" w:rsidRDefault="00F43D64" w:rsidP="00F43D64">
      <w:pPr>
        <w:pStyle w:val="vlevo"/>
        <w:ind w:firstLine="708"/>
      </w:pPr>
      <w:r>
        <w:t>Příloha č. 1 - žádost OI + zákres trvalého záboru.</w:t>
      </w:r>
    </w:p>
    <w:p w:rsidR="00F43D64" w:rsidRDefault="00F43D64" w:rsidP="00F43D64">
      <w:pPr>
        <w:pStyle w:val="vlevo"/>
        <w:ind w:firstLine="708"/>
      </w:pPr>
      <w:r>
        <w:t>Příloha č. 2 - vyjádření vlastníka pozemku.</w:t>
      </w:r>
    </w:p>
    <w:p w:rsidR="00F43D64" w:rsidRDefault="00F43D64" w:rsidP="00F43D64">
      <w:pPr>
        <w:pStyle w:val="vlevo"/>
        <w:ind w:firstLine="708"/>
      </w:pPr>
      <w:r>
        <w:t xml:space="preserve">Příloha č. 3 - stanovisko ORP MMP. </w:t>
      </w:r>
    </w:p>
    <w:p w:rsidR="00F43D64" w:rsidRDefault="00F43D64" w:rsidP="00F43D64">
      <w:pPr>
        <w:pStyle w:val="vlevo"/>
        <w:ind w:firstLine="708"/>
      </w:pPr>
      <w:r>
        <w:t>Příloha č. 4 - snímky map.</w:t>
      </w:r>
    </w:p>
    <w:p w:rsidR="00292787" w:rsidRDefault="004E6C8E" w:rsidP="00F43D64">
      <w:pPr>
        <w:pStyle w:val="vlevo"/>
        <w:ind w:firstLine="708"/>
      </w:pPr>
      <w:r>
        <w:t>Příloha č. 5 -</w:t>
      </w:r>
      <w:r w:rsidR="00292787">
        <w:t xml:space="preserve"> doporučení KNM 17. 3. 2015.</w:t>
      </w:r>
    </w:p>
    <w:p w:rsidR="000D6F23" w:rsidRDefault="000D6F23" w:rsidP="00F43D64">
      <w:pPr>
        <w:pStyle w:val="vlevo"/>
        <w:ind w:firstLine="708"/>
      </w:pPr>
      <w:r>
        <w:t>Příloha č. 6 – usn. RMP č. 396 ze dne 16. 4. 2015.</w:t>
      </w:r>
    </w:p>
    <w:p w:rsidR="00F43D64" w:rsidRDefault="00F43D64" w:rsidP="00F43D64">
      <w:pPr>
        <w:pStyle w:val="vlevo"/>
        <w:tabs>
          <w:tab w:val="left" w:pos="1843"/>
        </w:tabs>
      </w:pPr>
      <w:r>
        <w:tab/>
      </w:r>
    </w:p>
    <w:p w:rsidR="00F43D64" w:rsidRDefault="00F43D64" w:rsidP="00F43D64">
      <w:pPr>
        <w:pStyle w:val="vlevo"/>
      </w:pPr>
    </w:p>
    <w:p w:rsidR="00F43D64" w:rsidRDefault="00F43D64" w:rsidP="00F43D64">
      <w:pPr>
        <w:pStyle w:val="vlevo"/>
      </w:pPr>
    </w:p>
    <w:p w:rsidR="00F43D64" w:rsidRDefault="00F43D64" w:rsidP="00F43D64">
      <w:pPr>
        <w:pStyle w:val="vlevo"/>
      </w:pPr>
    </w:p>
    <w:p w:rsidR="00F43D64" w:rsidRDefault="00F43D64" w:rsidP="00F43D64"/>
    <w:p w:rsidR="00F43D64" w:rsidRDefault="00F43D64" w:rsidP="00F43D64"/>
    <w:p w:rsidR="00F472E7" w:rsidRDefault="00F472E7"/>
    <w:sectPr w:rsidR="00F472E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7A2FD4"/>
    <w:multiLevelType w:val="singleLevel"/>
    <w:tmpl w:val="BC22000C"/>
    <w:lvl w:ilvl="0">
      <w:start w:val="1"/>
      <w:numFmt w:val="decimal"/>
      <w:pStyle w:val="ostzahl"/>
      <w:lvlText w:val="%1."/>
      <w:lvlJc w:val="left"/>
      <w:pPr>
        <w:tabs>
          <w:tab w:val="num" w:pos="360"/>
        </w:tabs>
        <w:ind w:left="357" w:hanging="357"/>
      </w:p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3D64"/>
    <w:rsid w:val="000002E2"/>
    <w:rsid w:val="000D6F23"/>
    <w:rsid w:val="0018197C"/>
    <w:rsid w:val="00292787"/>
    <w:rsid w:val="00354D06"/>
    <w:rsid w:val="004E6C8E"/>
    <w:rsid w:val="009E4F6D"/>
    <w:rsid w:val="00BD5B43"/>
    <w:rsid w:val="00F43D64"/>
    <w:rsid w:val="00F472E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43D64"/>
    <w:pPr>
      <w:ind w:firstLine="720"/>
    </w:pPr>
    <w:rPr>
      <w:rFonts w:ascii="Times New Roman" w:eastAsia="Times New Roman" w:hAnsi="Times New Roman" w:cs="Times New Roman"/>
      <w:szCs w:val="20"/>
      <w:lang w:eastAsia="cs-CZ"/>
    </w:rPr>
  </w:style>
  <w:style w:type="paragraph" w:styleId="Nadpis2">
    <w:name w:val="heading 2"/>
    <w:basedOn w:val="Normln"/>
    <w:next w:val="Normln"/>
    <w:link w:val="Nadpis2Char"/>
    <w:uiPriority w:val="9"/>
    <w:semiHidden/>
    <w:unhideWhenUsed/>
    <w:qFormat/>
    <w:rsid w:val="00F43D6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semiHidden/>
    <w:unhideWhenUsed/>
    <w:qFormat/>
    <w:rsid w:val="00F43D64"/>
    <w:pPr>
      <w:keepNext/>
      <w:jc w:val="center"/>
      <w:outlineLvl w:val="2"/>
    </w:pPr>
    <w:rPr>
      <w:b/>
      <w:sz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semiHidden/>
    <w:rsid w:val="00F43D64"/>
    <w:rPr>
      <w:rFonts w:asciiTheme="majorHAnsi" w:eastAsiaTheme="majorEastAsia" w:hAnsiTheme="majorHAnsi" w:cstheme="majorBidi"/>
      <w:b/>
      <w:bCs/>
      <w:color w:val="4F81BD" w:themeColor="accent1"/>
      <w:sz w:val="26"/>
      <w:szCs w:val="26"/>
      <w:lang w:eastAsia="cs-CZ"/>
    </w:rPr>
  </w:style>
  <w:style w:type="character" w:customStyle="1" w:styleId="Nadpis3Char">
    <w:name w:val="Nadpis 3 Char"/>
    <w:basedOn w:val="Standardnpsmoodstavce"/>
    <w:link w:val="Nadpis3"/>
    <w:semiHidden/>
    <w:rsid w:val="00F43D64"/>
    <w:rPr>
      <w:rFonts w:ascii="Times New Roman" w:eastAsia="Times New Roman" w:hAnsi="Times New Roman" w:cs="Times New Roman"/>
      <w:b/>
      <w:sz w:val="32"/>
      <w:szCs w:val="20"/>
      <w:lang w:eastAsia="cs-CZ"/>
    </w:rPr>
  </w:style>
  <w:style w:type="character" w:customStyle="1" w:styleId="vlevoChar">
    <w:name w:val="vlevo Char"/>
    <w:link w:val="vlevo"/>
    <w:locked/>
    <w:rsid w:val="00F43D64"/>
    <w:rPr>
      <w:rFonts w:ascii="Times New Roman" w:eastAsia="Times New Roman" w:hAnsi="Times New Roman" w:cs="Times New Roman"/>
      <w:sz w:val="24"/>
      <w:szCs w:val="20"/>
      <w:lang w:eastAsia="cs-CZ"/>
    </w:rPr>
  </w:style>
  <w:style w:type="paragraph" w:customStyle="1" w:styleId="vlevo">
    <w:name w:val="vlevo"/>
    <w:basedOn w:val="Normln"/>
    <w:link w:val="vlevoChar"/>
    <w:autoRedefine/>
    <w:rsid w:val="00F43D64"/>
    <w:pPr>
      <w:ind w:firstLine="0"/>
      <w:jc w:val="both"/>
    </w:pPr>
    <w:rPr>
      <w:sz w:val="24"/>
    </w:rPr>
  </w:style>
  <w:style w:type="paragraph" w:customStyle="1" w:styleId="ostzahl">
    <w:name w:val="ostzahl"/>
    <w:basedOn w:val="Normln"/>
    <w:next w:val="vlevo"/>
    <w:autoRedefine/>
    <w:rsid w:val="00F43D64"/>
    <w:pPr>
      <w:numPr>
        <w:numId w:val="1"/>
      </w:numPr>
      <w:spacing w:before="120" w:after="120"/>
    </w:pPr>
    <w:rPr>
      <w:b/>
      <w:spacing w:val="22"/>
      <w:sz w:val="24"/>
    </w:rPr>
  </w:style>
  <w:style w:type="paragraph" w:customStyle="1" w:styleId="Normln-Iva">
    <w:name w:val="Normální-Iva"/>
    <w:basedOn w:val="Normln"/>
    <w:rsid w:val="00F43D64"/>
    <w:pPr>
      <w:suppressAutoHyphens/>
      <w:ind w:firstLine="567"/>
      <w:jc w:val="both"/>
    </w:pPr>
    <w:rPr>
      <w:sz w:val="24"/>
      <w:lang w:eastAsia="ar-SA"/>
    </w:rPr>
  </w:style>
  <w:style w:type="paragraph" w:styleId="Textbubliny">
    <w:name w:val="Balloon Text"/>
    <w:basedOn w:val="Normln"/>
    <w:link w:val="TextbublinyChar"/>
    <w:uiPriority w:val="99"/>
    <w:semiHidden/>
    <w:unhideWhenUsed/>
    <w:rsid w:val="004E6C8E"/>
    <w:rPr>
      <w:rFonts w:ascii="Tahoma" w:hAnsi="Tahoma" w:cs="Tahoma"/>
      <w:sz w:val="16"/>
      <w:szCs w:val="16"/>
    </w:rPr>
  </w:style>
  <w:style w:type="character" w:customStyle="1" w:styleId="TextbublinyChar">
    <w:name w:val="Text bubliny Char"/>
    <w:basedOn w:val="Standardnpsmoodstavce"/>
    <w:link w:val="Textbubliny"/>
    <w:uiPriority w:val="99"/>
    <w:semiHidden/>
    <w:rsid w:val="004E6C8E"/>
    <w:rPr>
      <w:rFonts w:ascii="Tahoma" w:eastAsia="Times New Roman" w:hAnsi="Tahoma" w:cs="Tahoma"/>
      <w:sz w:val="16"/>
      <w:szCs w:val="16"/>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43D64"/>
    <w:pPr>
      <w:ind w:firstLine="720"/>
    </w:pPr>
    <w:rPr>
      <w:rFonts w:ascii="Times New Roman" w:eastAsia="Times New Roman" w:hAnsi="Times New Roman" w:cs="Times New Roman"/>
      <w:szCs w:val="20"/>
      <w:lang w:eastAsia="cs-CZ"/>
    </w:rPr>
  </w:style>
  <w:style w:type="paragraph" w:styleId="Nadpis2">
    <w:name w:val="heading 2"/>
    <w:basedOn w:val="Normln"/>
    <w:next w:val="Normln"/>
    <w:link w:val="Nadpis2Char"/>
    <w:uiPriority w:val="9"/>
    <w:semiHidden/>
    <w:unhideWhenUsed/>
    <w:qFormat/>
    <w:rsid w:val="00F43D6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semiHidden/>
    <w:unhideWhenUsed/>
    <w:qFormat/>
    <w:rsid w:val="00F43D64"/>
    <w:pPr>
      <w:keepNext/>
      <w:jc w:val="center"/>
      <w:outlineLvl w:val="2"/>
    </w:pPr>
    <w:rPr>
      <w:b/>
      <w:sz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semiHidden/>
    <w:rsid w:val="00F43D64"/>
    <w:rPr>
      <w:rFonts w:asciiTheme="majorHAnsi" w:eastAsiaTheme="majorEastAsia" w:hAnsiTheme="majorHAnsi" w:cstheme="majorBidi"/>
      <w:b/>
      <w:bCs/>
      <w:color w:val="4F81BD" w:themeColor="accent1"/>
      <w:sz w:val="26"/>
      <w:szCs w:val="26"/>
      <w:lang w:eastAsia="cs-CZ"/>
    </w:rPr>
  </w:style>
  <w:style w:type="character" w:customStyle="1" w:styleId="Nadpis3Char">
    <w:name w:val="Nadpis 3 Char"/>
    <w:basedOn w:val="Standardnpsmoodstavce"/>
    <w:link w:val="Nadpis3"/>
    <w:semiHidden/>
    <w:rsid w:val="00F43D64"/>
    <w:rPr>
      <w:rFonts w:ascii="Times New Roman" w:eastAsia="Times New Roman" w:hAnsi="Times New Roman" w:cs="Times New Roman"/>
      <w:b/>
      <w:sz w:val="32"/>
      <w:szCs w:val="20"/>
      <w:lang w:eastAsia="cs-CZ"/>
    </w:rPr>
  </w:style>
  <w:style w:type="character" w:customStyle="1" w:styleId="vlevoChar">
    <w:name w:val="vlevo Char"/>
    <w:link w:val="vlevo"/>
    <w:locked/>
    <w:rsid w:val="00F43D64"/>
    <w:rPr>
      <w:rFonts w:ascii="Times New Roman" w:eastAsia="Times New Roman" w:hAnsi="Times New Roman" w:cs="Times New Roman"/>
      <w:sz w:val="24"/>
      <w:szCs w:val="20"/>
      <w:lang w:eastAsia="cs-CZ"/>
    </w:rPr>
  </w:style>
  <w:style w:type="paragraph" w:customStyle="1" w:styleId="vlevo">
    <w:name w:val="vlevo"/>
    <w:basedOn w:val="Normln"/>
    <w:link w:val="vlevoChar"/>
    <w:autoRedefine/>
    <w:rsid w:val="00F43D64"/>
    <w:pPr>
      <w:ind w:firstLine="0"/>
      <w:jc w:val="both"/>
    </w:pPr>
    <w:rPr>
      <w:sz w:val="24"/>
    </w:rPr>
  </w:style>
  <w:style w:type="paragraph" w:customStyle="1" w:styleId="ostzahl">
    <w:name w:val="ostzahl"/>
    <w:basedOn w:val="Normln"/>
    <w:next w:val="vlevo"/>
    <w:autoRedefine/>
    <w:rsid w:val="00F43D64"/>
    <w:pPr>
      <w:numPr>
        <w:numId w:val="1"/>
      </w:numPr>
      <w:spacing w:before="120" w:after="120"/>
    </w:pPr>
    <w:rPr>
      <w:b/>
      <w:spacing w:val="22"/>
      <w:sz w:val="24"/>
    </w:rPr>
  </w:style>
  <w:style w:type="paragraph" w:customStyle="1" w:styleId="Normln-Iva">
    <w:name w:val="Normální-Iva"/>
    <w:basedOn w:val="Normln"/>
    <w:rsid w:val="00F43D64"/>
    <w:pPr>
      <w:suppressAutoHyphens/>
      <w:ind w:firstLine="567"/>
      <w:jc w:val="both"/>
    </w:pPr>
    <w:rPr>
      <w:sz w:val="24"/>
      <w:lang w:eastAsia="ar-SA"/>
    </w:rPr>
  </w:style>
  <w:style w:type="paragraph" w:styleId="Textbubliny">
    <w:name w:val="Balloon Text"/>
    <w:basedOn w:val="Normln"/>
    <w:link w:val="TextbublinyChar"/>
    <w:uiPriority w:val="99"/>
    <w:semiHidden/>
    <w:unhideWhenUsed/>
    <w:rsid w:val="004E6C8E"/>
    <w:rPr>
      <w:rFonts w:ascii="Tahoma" w:hAnsi="Tahoma" w:cs="Tahoma"/>
      <w:sz w:val="16"/>
      <w:szCs w:val="16"/>
    </w:rPr>
  </w:style>
  <w:style w:type="character" w:customStyle="1" w:styleId="TextbublinyChar">
    <w:name w:val="Text bubliny Char"/>
    <w:basedOn w:val="Standardnpsmoodstavce"/>
    <w:link w:val="Textbubliny"/>
    <w:uiPriority w:val="99"/>
    <w:semiHidden/>
    <w:rsid w:val="004E6C8E"/>
    <w:rPr>
      <w:rFonts w:ascii="Tahoma" w:eastAsia="Times New Roman" w:hAnsi="Tahoma" w:cs="Tahoma"/>
      <w:sz w:val="16"/>
      <w:szCs w:val="1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0079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932</Words>
  <Characters>5504</Characters>
  <Application>Microsoft Office Word</Application>
  <DocSecurity>0</DocSecurity>
  <Lines>45</Lines>
  <Paragraphs>12</Paragraphs>
  <ScaleCrop>false</ScaleCrop>
  <HeadingPairs>
    <vt:vector size="2" baseType="variant">
      <vt:variant>
        <vt:lpstr>Název</vt:lpstr>
      </vt:variant>
      <vt:variant>
        <vt:i4>1</vt:i4>
      </vt:variant>
    </vt:vector>
  </HeadingPairs>
  <TitlesOfParts>
    <vt:vector size="1" baseType="lpstr">
      <vt:lpstr/>
    </vt:vector>
  </TitlesOfParts>
  <Company>.</Company>
  <LinksUpToDate>false</LinksUpToDate>
  <CharactersWithSpaces>6424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Štichová Alena</dc:creator>
  <cp:lastModifiedBy>Štichová Alena</cp:lastModifiedBy>
  <cp:revision>3</cp:revision>
  <cp:lastPrinted>2015-03-20T09:21:00Z</cp:lastPrinted>
  <dcterms:created xsi:type="dcterms:W3CDTF">2015-04-22T08:31:00Z</dcterms:created>
  <dcterms:modified xsi:type="dcterms:W3CDTF">2015-04-23T10:37:00Z</dcterms:modified>
</cp:coreProperties>
</file>