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6D" w:rsidRDefault="00A2636D" w:rsidP="00A2636D">
      <w:pPr>
        <w:pStyle w:val="Nadpis3"/>
        <w:ind w:firstLine="0"/>
      </w:pPr>
      <w:proofErr w:type="gramStart"/>
      <w:r>
        <w:t>D ů</w:t>
      </w:r>
      <w:r w:rsidR="0077536B">
        <w:t xml:space="preserve"> v o d o v á   z p r á v a</w:t>
      </w:r>
      <w:proofErr w:type="gramEnd"/>
    </w:p>
    <w:p w:rsidR="00A2636D" w:rsidRDefault="00A2636D" w:rsidP="00A2636D"/>
    <w:p w:rsidR="00A2636D" w:rsidRDefault="00A2636D" w:rsidP="00A2636D">
      <w:pPr>
        <w:rPr>
          <w:b/>
          <w:sz w:val="24"/>
        </w:rPr>
      </w:pPr>
      <w:r>
        <w:rPr>
          <w:b/>
          <w:sz w:val="24"/>
        </w:rPr>
        <w:t>1. Název problému a jeho charakteristika:</w:t>
      </w:r>
    </w:p>
    <w:p w:rsidR="001D66EE" w:rsidRPr="001A34C7" w:rsidRDefault="006539E8" w:rsidP="001D66EE">
      <w:pPr>
        <w:jc w:val="both"/>
        <w:rPr>
          <w:sz w:val="24"/>
        </w:rPr>
      </w:pPr>
      <w:r>
        <w:rPr>
          <w:sz w:val="24"/>
        </w:rPr>
        <w:t>Žádost organizace</w:t>
      </w:r>
      <w:r w:rsidR="001D66EE" w:rsidRPr="001A34C7">
        <w:rPr>
          <w:sz w:val="24"/>
        </w:rPr>
        <w:t xml:space="preserve"> Poliklinika Bory, spol. s r.o., IČ 49787632 </w:t>
      </w:r>
      <w:r w:rsidR="001D66EE">
        <w:rPr>
          <w:sz w:val="24"/>
        </w:rPr>
        <w:t xml:space="preserve">Čechova </w:t>
      </w:r>
      <w:r w:rsidR="001D66EE" w:rsidRPr="00974A4F">
        <w:rPr>
          <w:sz w:val="24"/>
        </w:rPr>
        <w:t>2641/</w:t>
      </w:r>
      <w:r w:rsidR="001D66EE" w:rsidRPr="001A34C7">
        <w:rPr>
          <w:sz w:val="24"/>
        </w:rPr>
        <w:t xml:space="preserve">44, Plzeň </w:t>
      </w:r>
      <w:r>
        <w:rPr>
          <w:sz w:val="24"/>
        </w:rPr>
        <w:t>o</w:t>
      </w:r>
      <w:r w:rsidR="00694833">
        <w:rPr>
          <w:sz w:val="24"/>
        </w:rPr>
        <w:t> </w:t>
      </w:r>
      <w:r>
        <w:rPr>
          <w:sz w:val="24"/>
        </w:rPr>
        <w:t xml:space="preserve">poskytnutí dotace ve výši 300 tis. Kč </w:t>
      </w:r>
      <w:r w:rsidR="001D66EE" w:rsidRPr="001A34C7">
        <w:rPr>
          <w:sz w:val="24"/>
        </w:rPr>
        <w:t xml:space="preserve">na </w:t>
      </w:r>
      <w:r w:rsidR="00D55F04">
        <w:rPr>
          <w:sz w:val="24"/>
        </w:rPr>
        <w:t>zajištění</w:t>
      </w:r>
      <w:r w:rsidR="001D66EE" w:rsidRPr="001A34C7">
        <w:rPr>
          <w:sz w:val="24"/>
        </w:rPr>
        <w:t xml:space="preserve"> zdravotní péče osobám ohroženým sociálním vyloučením či již sociálně vyloučeným, s důrazem na osoby bez domova a cizince, v rozsahu cíleného vyšetření v</w:t>
      </w:r>
      <w:r w:rsidR="00312DEB">
        <w:rPr>
          <w:sz w:val="24"/>
        </w:rPr>
        <w:t> </w:t>
      </w:r>
      <w:r w:rsidR="001D66EE" w:rsidRPr="001A34C7">
        <w:rPr>
          <w:sz w:val="24"/>
        </w:rPr>
        <w:t>prostorách</w:t>
      </w:r>
      <w:r w:rsidR="00312DEB">
        <w:rPr>
          <w:sz w:val="24"/>
        </w:rPr>
        <w:t xml:space="preserve"> ordinace</w:t>
      </w:r>
      <w:r w:rsidR="001D66EE" w:rsidRPr="001A34C7">
        <w:rPr>
          <w:sz w:val="24"/>
        </w:rPr>
        <w:t xml:space="preserve"> Městské </w:t>
      </w:r>
      <w:r w:rsidR="00D55F04">
        <w:rPr>
          <w:sz w:val="24"/>
        </w:rPr>
        <w:t>c</w:t>
      </w:r>
      <w:r w:rsidR="001D66EE" w:rsidRPr="001A34C7">
        <w:rPr>
          <w:sz w:val="24"/>
        </w:rPr>
        <w:t>harity Plzeň, Domova sv. Františka, Wenzigova 5, Plzeň.</w:t>
      </w:r>
    </w:p>
    <w:p w:rsidR="00A2636D" w:rsidRPr="00BE578D" w:rsidRDefault="00A2636D" w:rsidP="00A2636D">
      <w:pPr>
        <w:pStyle w:val="Zkladntextodsazen"/>
        <w:ind w:left="0"/>
        <w:jc w:val="both"/>
        <w:rPr>
          <w:bCs/>
          <w:strike/>
          <w:sz w:val="16"/>
          <w:szCs w:val="16"/>
        </w:rPr>
      </w:pPr>
    </w:p>
    <w:p w:rsidR="00A2636D" w:rsidRDefault="00A2636D" w:rsidP="00A2636D">
      <w:pPr>
        <w:jc w:val="both"/>
        <w:rPr>
          <w:b/>
          <w:sz w:val="24"/>
        </w:rPr>
      </w:pPr>
      <w:r>
        <w:rPr>
          <w:b/>
          <w:sz w:val="24"/>
        </w:rPr>
        <w:t>2. Konstatování současného stavu a jeho analýza:</w:t>
      </w:r>
    </w:p>
    <w:p w:rsidR="00B42E73" w:rsidRPr="00C1373B" w:rsidRDefault="00B42E73" w:rsidP="00C1373B">
      <w:pPr>
        <w:jc w:val="both"/>
        <w:rPr>
          <w:sz w:val="24"/>
          <w:szCs w:val="24"/>
        </w:rPr>
      </w:pPr>
      <w:r w:rsidRPr="00C1373B">
        <w:rPr>
          <w:sz w:val="24"/>
          <w:szCs w:val="24"/>
        </w:rPr>
        <w:t xml:space="preserve">Odbor sociálních služeb MMP </w:t>
      </w:r>
      <w:r w:rsidR="00694833">
        <w:rPr>
          <w:sz w:val="24"/>
          <w:szCs w:val="24"/>
        </w:rPr>
        <w:t xml:space="preserve">(dále OSS MMP) </w:t>
      </w:r>
      <w:r w:rsidRPr="00C1373B">
        <w:rPr>
          <w:sz w:val="24"/>
          <w:szCs w:val="24"/>
        </w:rPr>
        <w:t xml:space="preserve">v rámci dotačního programu </w:t>
      </w:r>
      <w:r w:rsidRPr="00C1373B">
        <w:rPr>
          <w:i/>
          <w:sz w:val="24"/>
          <w:szCs w:val="24"/>
        </w:rPr>
        <w:t>Péče o zdraví a podpora zdravotně postižených a seniorů pro rok 2015</w:t>
      </w:r>
      <w:r w:rsidRPr="00C1373B">
        <w:rPr>
          <w:sz w:val="24"/>
          <w:szCs w:val="24"/>
        </w:rPr>
        <w:t xml:space="preserve"> vyhlásil možnost žádat dotaci na zajištění zdravotní péče osobám ohroženým sociálním vyloučením či již sociálně vyloučeným, s důrazem na osoby bez domova a cizince. Termín uzávěrky žádostí byl 27. </w:t>
      </w:r>
      <w:r w:rsidR="00694833">
        <w:rPr>
          <w:sz w:val="24"/>
          <w:szCs w:val="24"/>
        </w:rPr>
        <w:t xml:space="preserve">února </w:t>
      </w:r>
      <w:r w:rsidRPr="00C1373B">
        <w:rPr>
          <w:sz w:val="24"/>
          <w:szCs w:val="24"/>
        </w:rPr>
        <w:t>2015.</w:t>
      </w:r>
    </w:p>
    <w:p w:rsidR="00B42E73" w:rsidRPr="00C1373B" w:rsidRDefault="00B42E73" w:rsidP="00C1373B">
      <w:pPr>
        <w:jc w:val="both"/>
        <w:rPr>
          <w:sz w:val="24"/>
          <w:szCs w:val="24"/>
        </w:rPr>
      </w:pPr>
      <w:r w:rsidRPr="00C1373B">
        <w:rPr>
          <w:sz w:val="24"/>
          <w:szCs w:val="24"/>
        </w:rPr>
        <w:t>Cílem dotace je poskytnout finanční prostředky na zajištění zdravotní péče osobám ohroženým sociálním vyloučením či již sociálně vyloučeným, s důrazem na osoby bez domova a cizince. K datu uzávěrky byla doručena pouze jedna žádost, a to žádost stávajícího poskytovatele zdravotní péče pro uvedenou cílovou s</w:t>
      </w:r>
      <w:r w:rsidR="00C1373B">
        <w:rPr>
          <w:sz w:val="24"/>
          <w:szCs w:val="24"/>
        </w:rPr>
        <w:t>kupinu Poliklinik</w:t>
      </w:r>
      <w:r w:rsidR="00694833">
        <w:rPr>
          <w:sz w:val="24"/>
          <w:szCs w:val="24"/>
        </w:rPr>
        <w:t>y</w:t>
      </w:r>
      <w:r w:rsidR="00C1373B">
        <w:rPr>
          <w:sz w:val="24"/>
          <w:szCs w:val="24"/>
        </w:rPr>
        <w:t xml:space="preserve"> Bory</w:t>
      </w:r>
      <w:r w:rsidR="00694833">
        <w:rPr>
          <w:sz w:val="24"/>
          <w:szCs w:val="24"/>
        </w:rPr>
        <w:t>,</w:t>
      </w:r>
      <w:r w:rsidR="00C1373B">
        <w:rPr>
          <w:sz w:val="24"/>
          <w:szCs w:val="24"/>
        </w:rPr>
        <w:t xml:space="preserve"> spol. s </w:t>
      </w:r>
      <w:r w:rsidRPr="00C1373B">
        <w:rPr>
          <w:sz w:val="24"/>
          <w:szCs w:val="24"/>
        </w:rPr>
        <w:t>r.o. – požadovaná částka je 300 tis. Kč.</w:t>
      </w:r>
    </w:p>
    <w:p w:rsidR="00B42E73" w:rsidRPr="00C1373B" w:rsidRDefault="00B42E73" w:rsidP="00C1373B">
      <w:pPr>
        <w:jc w:val="both"/>
        <w:rPr>
          <w:sz w:val="24"/>
          <w:szCs w:val="24"/>
        </w:rPr>
      </w:pPr>
      <w:r w:rsidRPr="00C1373B">
        <w:rPr>
          <w:sz w:val="24"/>
          <w:szCs w:val="24"/>
        </w:rPr>
        <w:t xml:space="preserve">Odbor sociálních služeb MMP provedl formální hodnocení žádosti v kontextu Zásad poskytování dotací z rozpočtu města Plzně. Po formální stránce </w:t>
      </w:r>
      <w:r w:rsidR="00694833">
        <w:rPr>
          <w:sz w:val="24"/>
          <w:szCs w:val="24"/>
        </w:rPr>
        <w:t>ž</w:t>
      </w:r>
      <w:r w:rsidRPr="00C1373B">
        <w:rPr>
          <w:sz w:val="24"/>
          <w:szCs w:val="24"/>
        </w:rPr>
        <w:t>ádost splňuje všechny náležitosti.</w:t>
      </w:r>
    </w:p>
    <w:p w:rsidR="00B42E73" w:rsidRPr="00C1373B" w:rsidRDefault="00B42E73" w:rsidP="00C1373B">
      <w:pPr>
        <w:jc w:val="both"/>
        <w:rPr>
          <w:sz w:val="24"/>
          <w:szCs w:val="24"/>
        </w:rPr>
      </w:pPr>
      <w:r w:rsidRPr="00C1373B">
        <w:rPr>
          <w:sz w:val="24"/>
          <w:szCs w:val="24"/>
        </w:rPr>
        <w:t xml:space="preserve">Poliklinika Bory, </w:t>
      </w:r>
      <w:r w:rsidR="00694833">
        <w:rPr>
          <w:sz w:val="24"/>
        </w:rPr>
        <w:t xml:space="preserve">spol. s r.o., </w:t>
      </w:r>
      <w:r w:rsidRPr="00C1373B">
        <w:rPr>
          <w:sz w:val="24"/>
          <w:szCs w:val="24"/>
        </w:rPr>
        <w:t>provozuje na základě požadavku OSS MMP v Domově sv. Františka, Wenzigova 5, Plzeň ordinaci praktického lékaře pro lidi bez domova již od roku 2011. Byla zároveň jediným subjektem, který po dlouholetém hledání byl ochoten tuto péči zajistit a</w:t>
      </w:r>
      <w:r w:rsidR="00D55F04" w:rsidRPr="00C1373B">
        <w:rPr>
          <w:sz w:val="24"/>
          <w:szCs w:val="24"/>
        </w:rPr>
        <w:t> </w:t>
      </w:r>
      <w:r w:rsidRPr="00C1373B">
        <w:rPr>
          <w:sz w:val="24"/>
          <w:szCs w:val="24"/>
        </w:rPr>
        <w:t>zdravotní pojišťovny, zejména VZP, byly ochotny uzavřít s tímto subjektem smlouvu. Město Plzeň je tak jediným městem v republice, kde se daří kontinuálně poskytovat kvalitní zdravotní péči lidem bez domova, včetně jejího systémového financování.</w:t>
      </w:r>
    </w:p>
    <w:p w:rsidR="00B42E73" w:rsidRPr="00C1373B" w:rsidRDefault="00B42E73" w:rsidP="00C1373B">
      <w:pPr>
        <w:jc w:val="both"/>
        <w:rPr>
          <w:sz w:val="24"/>
          <w:szCs w:val="24"/>
        </w:rPr>
      </w:pPr>
      <w:r w:rsidRPr="00C1373B">
        <w:rPr>
          <w:sz w:val="24"/>
          <w:szCs w:val="24"/>
        </w:rPr>
        <w:t>Financovat poskytování zmíněné zdravotní péče formou jednoleté dotace nám umožní upravovat rozsah poskytované péče podle aktuálního zdravotního stavu lidí bez domova a</w:t>
      </w:r>
      <w:r w:rsidR="00D55F04" w:rsidRPr="00C1373B">
        <w:rPr>
          <w:sz w:val="24"/>
          <w:szCs w:val="24"/>
        </w:rPr>
        <w:t> </w:t>
      </w:r>
      <w:r w:rsidRPr="00C1373B">
        <w:rPr>
          <w:sz w:val="24"/>
          <w:szCs w:val="24"/>
        </w:rPr>
        <w:t>zároveň podle počtu ošetřených klientů. Což se v posledním roce ukázalo jako velmi důležité. V loňském roce, z důvodu narůstaj</w:t>
      </w:r>
      <w:r w:rsidR="00D55F04" w:rsidRPr="00C1373B">
        <w:rPr>
          <w:sz w:val="24"/>
          <w:szCs w:val="24"/>
        </w:rPr>
        <w:t>ících požadavků na</w:t>
      </w:r>
      <w:r w:rsidRPr="00C1373B">
        <w:rPr>
          <w:sz w:val="24"/>
          <w:szCs w:val="24"/>
        </w:rPr>
        <w:t xml:space="preserve"> zdravotní péči, vyčerpala Poliklinika Bory, </w:t>
      </w:r>
      <w:r w:rsidR="00694833" w:rsidRPr="00214102">
        <w:rPr>
          <w:sz w:val="24"/>
        </w:rPr>
        <w:t xml:space="preserve">spol. s r.o., </w:t>
      </w:r>
      <w:r w:rsidRPr="00C1373B">
        <w:rPr>
          <w:sz w:val="24"/>
          <w:szCs w:val="24"/>
        </w:rPr>
        <w:t xml:space="preserve">limit daný smlouvou na jednorázový spotřební zdravotní materiál ve výši 50 tis. Kč na běžný rok již v dubnu 2014. Druhou a neméně významnou příčinou byl výskyt onemocnění, která vyžadovala dražší a opakovanou léčbu. Nebylo </w:t>
      </w:r>
      <w:r w:rsidR="00694833">
        <w:rPr>
          <w:sz w:val="24"/>
          <w:szCs w:val="24"/>
        </w:rPr>
        <w:t xml:space="preserve">však </w:t>
      </w:r>
      <w:r w:rsidRPr="00C1373B">
        <w:rPr>
          <w:sz w:val="24"/>
          <w:szCs w:val="24"/>
        </w:rPr>
        <w:t xml:space="preserve">možné změnit či upravit parametry smlouvy uzavřené v roce 2012, a tak byla situace řešena dotací pro Městskou charitu Plzeň, která náklady na zdravotní materiál pro své klienty z poskytnuté dotace hradila. Toto řešení bylo v daný okamžik jediné možné – jinak by ordinace byla nucena ukončit provoz. Zdravotní péče ale musí být poskytována co nejkomplexněji. </w:t>
      </w:r>
    </w:p>
    <w:p w:rsidR="00B42E73" w:rsidRPr="00C1373B" w:rsidRDefault="00B42E73" w:rsidP="00C1373B">
      <w:pPr>
        <w:jc w:val="both"/>
        <w:rPr>
          <w:sz w:val="24"/>
          <w:szCs w:val="24"/>
        </w:rPr>
      </w:pPr>
      <w:r w:rsidRPr="00C1373B">
        <w:rPr>
          <w:sz w:val="24"/>
          <w:szCs w:val="24"/>
        </w:rPr>
        <w:t>Zdravotní péče bude Poliklinikou Bory</w:t>
      </w:r>
      <w:r w:rsidR="00694833">
        <w:rPr>
          <w:sz w:val="24"/>
          <w:szCs w:val="24"/>
        </w:rPr>
        <w:t xml:space="preserve">, </w:t>
      </w:r>
      <w:r w:rsidR="00694833" w:rsidRPr="00214102">
        <w:rPr>
          <w:sz w:val="24"/>
        </w:rPr>
        <w:t xml:space="preserve">spol. s r.o., </w:t>
      </w:r>
      <w:r w:rsidRPr="00C1373B">
        <w:rPr>
          <w:sz w:val="24"/>
          <w:szCs w:val="24"/>
        </w:rPr>
        <w:t>poskytována dva dny v týdnu lékařem s atestací praktický lékař a zdravo</w:t>
      </w:r>
      <w:r w:rsidR="00C1373B">
        <w:rPr>
          <w:sz w:val="24"/>
          <w:szCs w:val="24"/>
        </w:rPr>
        <w:t>tní sestrou. Poliklinika Bor</w:t>
      </w:r>
      <w:r w:rsidR="00694833">
        <w:rPr>
          <w:sz w:val="24"/>
          <w:szCs w:val="24"/>
        </w:rPr>
        <w:t>y,</w:t>
      </w:r>
      <w:r w:rsidR="00694833" w:rsidRPr="00694833">
        <w:rPr>
          <w:sz w:val="24"/>
        </w:rPr>
        <w:t xml:space="preserve"> </w:t>
      </w:r>
      <w:r w:rsidR="00694833" w:rsidRPr="00214102">
        <w:rPr>
          <w:sz w:val="24"/>
        </w:rPr>
        <w:t xml:space="preserve">spol. s r.o., </w:t>
      </w:r>
      <w:r w:rsidRPr="00C1373B">
        <w:rPr>
          <w:sz w:val="24"/>
          <w:szCs w:val="24"/>
        </w:rPr>
        <w:t xml:space="preserve">požaduje dotaci ve výši 300 tis. Kč na dobu poskytování od 1. 7. 2015 do 31. 12. 2015. </w:t>
      </w:r>
    </w:p>
    <w:p w:rsidR="00B42E73" w:rsidRPr="00C1373B" w:rsidRDefault="00B42E73" w:rsidP="00C1373B">
      <w:pPr>
        <w:jc w:val="both"/>
        <w:rPr>
          <w:sz w:val="24"/>
          <w:szCs w:val="24"/>
        </w:rPr>
      </w:pPr>
      <w:r w:rsidRPr="00C1373B">
        <w:rPr>
          <w:sz w:val="24"/>
          <w:szCs w:val="24"/>
        </w:rPr>
        <w:t>Náklady obsahuj</w:t>
      </w:r>
      <w:r w:rsidR="00694833">
        <w:rPr>
          <w:sz w:val="24"/>
          <w:szCs w:val="24"/>
        </w:rPr>
        <w:t>í</w:t>
      </w:r>
      <w:r w:rsidRPr="00C1373B">
        <w:rPr>
          <w:sz w:val="24"/>
          <w:szCs w:val="24"/>
        </w:rPr>
        <w:t xml:space="preserve"> zejména: mzdu lékaře, zdravotní sestry, zdravotní materiál (obvazy, desinfekce, léky atd.), doplatky na léky pro pacienty dle doporučení sociálního pracovníka. Návštěvníci ordinace nemají potřebné finanční prostředky na léky, proto se jim nezbytné léky dávají přímo v ordinaci nebo se jim potřebný doplatek</w:t>
      </w:r>
      <w:r w:rsidR="00D55F04" w:rsidRPr="00C1373B">
        <w:rPr>
          <w:sz w:val="24"/>
          <w:szCs w:val="24"/>
        </w:rPr>
        <w:t xml:space="preserve"> na léky</w:t>
      </w:r>
      <w:r w:rsidRPr="00C1373B">
        <w:rPr>
          <w:sz w:val="24"/>
          <w:szCs w:val="24"/>
        </w:rPr>
        <w:t xml:space="preserve"> hradí</w:t>
      </w:r>
      <w:r w:rsidR="00D55F04" w:rsidRPr="00C1373B">
        <w:rPr>
          <w:sz w:val="24"/>
          <w:szCs w:val="24"/>
        </w:rPr>
        <w:t>.</w:t>
      </w:r>
      <w:r w:rsidRPr="00C1373B">
        <w:rPr>
          <w:sz w:val="24"/>
          <w:szCs w:val="24"/>
        </w:rPr>
        <w:t xml:space="preserve">  Tato praxe se za poslední roky ukázala jako efektivní. Lékové doplatky jsou placeny pouze za pacienty doporučen</w:t>
      </w:r>
      <w:r w:rsidR="00D55F04" w:rsidRPr="00C1373B">
        <w:rPr>
          <w:sz w:val="24"/>
          <w:szCs w:val="24"/>
        </w:rPr>
        <w:t>é</w:t>
      </w:r>
      <w:r w:rsidRPr="00C1373B">
        <w:rPr>
          <w:sz w:val="24"/>
          <w:szCs w:val="24"/>
        </w:rPr>
        <w:t xml:space="preserve"> sociálním pracovníkem Domova sv. Františka.</w:t>
      </w:r>
    </w:p>
    <w:p w:rsidR="006539E8" w:rsidRDefault="006539E8" w:rsidP="00B42E73">
      <w:pPr>
        <w:spacing w:line="276" w:lineRule="auto"/>
        <w:jc w:val="both"/>
      </w:pPr>
    </w:p>
    <w:p w:rsidR="006539E8" w:rsidRDefault="006539E8" w:rsidP="00B42E73">
      <w:pPr>
        <w:spacing w:line="276" w:lineRule="auto"/>
        <w:jc w:val="both"/>
      </w:pPr>
    </w:p>
    <w:tbl>
      <w:tblPr>
        <w:tblW w:w="9636" w:type="dxa"/>
        <w:tblInd w:w="-23" w:type="dxa"/>
        <w:tblLayout w:type="fixed"/>
        <w:tblCellMar>
          <w:left w:w="0" w:type="dxa"/>
          <w:right w:w="0" w:type="dxa"/>
        </w:tblCellMar>
        <w:tblLook w:val="04A0" w:firstRow="1" w:lastRow="0" w:firstColumn="1" w:lastColumn="0" w:noHBand="0" w:noVBand="1"/>
      </w:tblPr>
      <w:tblGrid>
        <w:gridCol w:w="820"/>
        <w:gridCol w:w="496"/>
        <w:gridCol w:w="3840"/>
        <w:gridCol w:w="900"/>
        <w:gridCol w:w="1125"/>
        <w:gridCol w:w="735"/>
        <w:gridCol w:w="760"/>
        <w:gridCol w:w="960"/>
      </w:tblGrid>
      <w:tr w:rsidR="00B42E73" w:rsidTr="00F71460">
        <w:trPr>
          <w:trHeight w:val="255"/>
        </w:trPr>
        <w:tc>
          <w:tcPr>
            <w:tcW w:w="8676" w:type="dxa"/>
            <w:gridSpan w:val="7"/>
            <w:tcBorders>
              <w:top w:val="single" w:sz="8" w:space="0" w:color="6C6C6C"/>
              <w:left w:val="single" w:sz="8" w:space="0" w:color="6C6C6C"/>
              <w:bottom w:val="single" w:sz="8" w:space="0" w:color="6C6C6C"/>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rPr>
                <w:rFonts w:ascii="Arial" w:eastAsia="Calibri" w:hAnsi="Arial" w:cs="Arial"/>
                <w:b/>
                <w:bCs/>
                <w:color w:val="000000"/>
                <w:sz w:val="18"/>
                <w:szCs w:val="18"/>
              </w:rPr>
            </w:pPr>
            <w:r>
              <w:rPr>
                <w:rFonts w:ascii="Arial" w:hAnsi="Arial" w:cs="Arial"/>
                <w:b/>
                <w:bCs/>
                <w:color w:val="000000"/>
                <w:sz w:val="18"/>
                <w:szCs w:val="18"/>
              </w:rPr>
              <w:lastRenderedPageBreak/>
              <w:t>Souhrn za 49787632 - Poliklinika Bory, spol. s r.o.</w:t>
            </w:r>
          </w:p>
        </w:tc>
        <w:tc>
          <w:tcPr>
            <w:tcW w:w="960" w:type="dxa"/>
            <w:noWrap/>
            <w:tcMar>
              <w:top w:w="0" w:type="dxa"/>
              <w:left w:w="70" w:type="dxa"/>
              <w:bottom w:w="0" w:type="dxa"/>
              <w:right w:w="70" w:type="dxa"/>
            </w:tcMar>
            <w:vAlign w:val="bottom"/>
            <w:hideMark/>
          </w:tcPr>
          <w:p w:rsidR="00B42E73" w:rsidRDefault="00B42E73" w:rsidP="00F71460"/>
        </w:tc>
      </w:tr>
      <w:tr w:rsidR="00B42E73" w:rsidTr="00F71460">
        <w:trPr>
          <w:trHeight w:val="225"/>
        </w:trPr>
        <w:tc>
          <w:tcPr>
            <w:tcW w:w="820" w:type="dxa"/>
            <w:vMerge w:val="restart"/>
            <w:tcBorders>
              <w:top w:val="nil"/>
              <w:left w:val="single" w:sz="8" w:space="0" w:color="6C6C6C"/>
              <w:bottom w:val="single" w:sz="8" w:space="0" w:color="6C6C6C"/>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Zdroj</w:t>
            </w:r>
          </w:p>
        </w:tc>
        <w:tc>
          <w:tcPr>
            <w:tcW w:w="496" w:type="dxa"/>
            <w:vMerge w:val="restart"/>
            <w:tcBorders>
              <w:top w:val="nil"/>
              <w:left w:val="nil"/>
              <w:bottom w:val="single" w:sz="8" w:space="0" w:color="6C6C6C"/>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Rok</w:t>
            </w:r>
          </w:p>
        </w:tc>
        <w:tc>
          <w:tcPr>
            <w:tcW w:w="3840" w:type="dxa"/>
            <w:vMerge w:val="restart"/>
            <w:tcBorders>
              <w:top w:val="nil"/>
              <w:left w:val="nil"/>
              <w:bottom w:val="single" w:sz="8" w:space="0" w:color="6C6C6C"/>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Kázeň</w:t>
            </w:r>
          </w:p>
        </w:tc>
        <w:tc>
          <w:tcPr>
            <w:tcW w:w="1125" w:type="dxa"/>
            <w:tcBorders>
              <w:top w:val="nil"/>
              <w:left w:val="nil"/>
              <w:bottom w:val="nil"/>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Částka</w:t>
            </w:r>
          </w:p>
        </w:tc>
        <w:tc>
          <w:tcPr>
            <w:tcW w:w="735" w:type="dxa"/>
            <w:tcBorders>
              <w:top w:val="nil"/>
              <w:left w:val="nil"/>
              <w:bottom w:val="nil"/>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Částka</w:t>
            </w:r>
          </w:p>
        </w:tc>
        <w:tc>
          <w:tcPr>
            <w:tcW w:w="960" w:type="dxa"/>
            <w:noWrap/>
            <w:tcMar>
              <w:top w:w="0" w:type="dxa"/>
              <w:left w:w="70" w:type="dxa"/>
              <w:bottom w:w="0" w:type="dxa"/>
              <w:right w:w="70" w:type="dxa"/>
            </w:tcMar>
            <w:vAlign w:val="bottom"/>
            <w:hideMark/>
          </w:tcPr>
          <w:p w:rsidR="00B42E73" w:rsidRDefault="00B42E73" w:rsidP="00F71460"/>
        </w:tc>
      </w:tr>
      <w:tr w:rsidR="00B42E73" w:rsidTr="00F71460">
        <w:trPr>
          <w:trHeight w:val="240"/>
        </w:trPr>
        <w:tc>
          <w:tcPr>
            <w:tcW w:w="820" w:type="dxa"/>
            <w:vMerge/>
            <w:tcBorders>
              <w:top w:val="nil"/>
              <w:left w:val="single" w:sz="8" w:space="0" w:color="6C6C6C"/>
              <w:bottom w:val="single" w:sz="8" w:space="0" w:color="6C6C6C"/>
              <w:right w:val="single" w:sz="8" w:space="0" w:color="6C6C6C"/>
            </w:tcBorders>
            <w:vAlign w:val="center"/>
            <w:hideMark/>
          </w:tcPr>
          <w:p w:rsidR="00B42E73" w:rsidRPr="001A1CC6" w:rsidRDefault="00B42E73" w:rsidP="00F71460">
            <w:pPr>
              <w:rPr>
                <w:rFonts w:ascii="Arial" w:eastAsia="Calibri" w:hAnsi="Arial" w:cs="Arial"/>
                <w:b/>
                <w:bCs/>
                <w:color w:val="000000"/>
                <w:sz w:val="16"/>
                <w:szCs w:val="16"/>
              </w:rPr>
            </w:pPr>
          </w:p>
        </w:tc>
        <w:tc>
          <w:tcPr>
            <w:tcW w:w="496" w:type="dxa"/>
            <w:vMerge/>
            <w:tcBorders>
              <w:top w:val="nil"/>
              <w:left w:val="nil"/>
              <w:bottom w:val="single" w:sz="8" w:space="0" w:color="6C6C6C"/>
              <w:right w:val="single" w:sz="8" w:space="0" w:color="6C6C6C"/>
            </w:tcBorders>
            <w:vAlign w:val="center"/>
            <w:hideMark/>
          </w:tcPr>
          <w:p w:rsidR="00B42E73" w:rsidRPr="001A1CC6" w:rsidRDefault="00B42E73" w:rsidP="00F71460">
            <w:pPr>
              <w:rPr>
                <w:rFonts w:ascii="Arial" w:eastAsia="Calibri" w:hAnsi="Arial" w:cs="Arial"/>
                <w:b/>
                <w:bCs/>
                <w:color w:val="000000"/>
                <w:sz w:val="16"/>
                <w:szCs w:val="16"/>
              </w:rPr>
            </w:pPr>
          </w:p>
        </w:tc>
        <w:tc>
          <w:tcPr>
            <w:tcW w:w="3840" w:type="dxa"/>
            <w:vMerge/>
            <w:tcBorders>
              <w:top w:val="nil"/>
              <w:left w:val="nil"/>
              <w:bottom w:val="single" w:sz="8" w:space="0" w:color="6C6C6C"/>
              <w:right w:val="single" w:sz="8" w:space="0" w:color="6C6C6C"/>
            </w:tcBorders>
            <w:vAlign w:val="center"/>
            <w:hideMark/>
          </w:tcPr>
          <w:p w:rsidR="00B42E73" w:rsidRPr="001A1CC6" w:rsidRDefault="00B42E73" w:rsidP="00F71460">
            <w:pPr>
              <w:rPr>
                <w:rFonts w:ascii="Arial" w:eastAsia="Calibri" w:hAnsi="Arial" w:cs="Arial"/>
                <w:b/>
                <w:bCs/>
                <w:color w:val="000000"/>
                <w:sz w:val="16"/>
                <w:szCs w:val="16"/>
              </w:rPr>
            </w:pPr>
          </w:p>
        </w:tc>
        <w:tc>
          <w:tcPr>
            <w:tcW w:w="900" w:type="dxa"/>
            <w:tcBorders>
              <w:top w:val="nil"/>
              <w:left w:val="nil"/>
              <w:bottom w:val="single" w:sz="8" w:space="0" w:color="6C6C6C"/>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porušená</w:t>
            </w:r>
          </w:p>
        </w:tc>
        <w:tc>
          <w:tcPr>
            <w:tcW w:w="1125" w:type="dxa"/>
            <w:tcBorders>
              <w:top w:val="nil"/>
              <w:left w:val="nil"/>
              <w:bottom w:val="single" w:sz="8" w:space="0" w:color="6C6C6C"/>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schválená</w:t>
            </w:r>
          </w:p>
        </w:tc>
        <w:tc>
          <w:tcPr>
            <w:tcW w:w="735" w:type="dxa"/>
            <w:tcBorders>
              <w:top w:val="nil"/>
              <w:left w:val="nil"/>
              <w:bottom w:val="single" w:sz="8" w:space="0" w:color="6C6C6C"/>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auto" w:fill="C5C5C5"/>
            <w:tcMar>
              <w:top w:w="0" w:type="dxa"/>
              <w:left w:w="70" w:type="dxa"/>
              <w:bottom w:w="0" w:type="dxa"/>
              <w:right w:w="70" w:type="dxa"/>
            </w:tcMar>
            <w:vAlign w:val="center"/>
            <w:hideMark/>
          </w:tcPr>
          <w:p w:rsidR="00B42E73" w:rsidRPr="001A1CC6" w:rsidRDefault="00B42E73" w:rsidP="00F71460">
            <w:pPr>
              <w:jc w:val="center"/>
              <w:rPr>
                <w:rFonts w:ascii="Arial" w:eastAsia="Calibri" w:hAnsi="Arial" w:cs="Arial"/>
                <w:b/>
                <w:bCs/>
                <w:color w:val="000000"/>
                <w:sz w:val="16"/>
                <w:szCs w:val="16"/>
              </w:rPr>
            </w:pPr>
            <w:r>
              <w:rPr>
                <w:rFonts w:ascii="Arial" w:hAnsi="Arial" w:cs="Arial"/>
                <w:b/>
                <w:bCs/>
                <w:color w:val="000000"/>
                <w:sz w:val="16"/>
                <w:szCs w:val="16"/>
              </w:rPr>
              <w:t>vrácená</w:t>
            </w:r>
          </w:p>
        </w:tc>
        <w:tc>
          <w:tcPr>
            <w:tcW w:w="960" w:type="dxa"/>
            <w:noWrap/>
            <w:tcMar>
              <w:top w:w="0" w:type="dxa"/>
              <w:left w:w="70" w:type="dxa"/>
              <w:bottom w:w="0" w:type="dxa"/>
              <w:right w:w="70" w:type="dxa"/>
            </w:tcMar>
            <w:vAlign w:val="bottom"/>
            <w:hideMark/>
          </w:tcPr>
          <w:p w:rsidR="00B42E73" w:rsidRDefault="00B42E73" w:rsidP="00F71460"/>
        </w:tc>
      </w:tr>
      <w:tr w:rsidR="00B42E73" w:rsidTr="00F71460">
        <w:trPr>
          <w:trHeight w:val="240"/>
        </w:trPr>
        <w:tc>
          <w:tcPr>
            <w:tcW w:w="6056" w:type="dxa"/>
            <w:gridSpan w:val="4"/>
            <w:tcBorders>
              <w:top w:val="nil"/>
              <w:left w:val="single" w:sz="8" w:space="0" w:color="6C6C6C"/>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Suma 2013</w:t>
            </w:r>
          </w:p>
        </w:tc>
        <w:tc>
          <w:tcPr>
            <w:tcW w:w="1125"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0</w:t>
            </w:r>
          </w:p>
        </w:tc>
        <w:tc>
          <w:tcPr>
            <w:tcW w:w="735"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0</w:t>
            </w:r>
          </w:p>
        </w:tc>
        <w:tc>
          <w:tcPr>
            <w:tcW w:w="960" w:type="dxa"/>
            <w:noWrap/>
            <w:tcMar>
              <w:top w:w="0" w:type="dxa"/>
              <w:left w:w="70" w:type="dxa"/>
              <w:bottom w:w="0" w:type="dxa"/>
              <w:right w:w="70" w:type="dxa"/>
            </w:tcMar>
            <w:vAlign w:val="bottom"/>
            <w:hideMark/>
          </w:tcPr>
          <w:p w:rsidR="00B42E73" w:rsidRDefault="00B42E73" w:rsidP="00F71460"/>
        </w:tc>
      </w:tr>
      <w:tr w:rsidR="00B42E73" w:rsidTr="00F71460">
        <w:trPr>
          <w:trHeight w:val="240"/>
        </w:trPr>
        <w:tc>
          <w:tcPr>
            <w:tcW w:w="6056" w:type="dxa"/>
            <w:gridSpan w:val="4"/>
            <w:tcBorders>
              <w:top w:val="nil"/>
              <w:left w:val="single" w:sz="8" w:space="0" w:color="6C6C6C"/>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Suma 2014</w:t>
            </w:r>
          </w:p>
        </w:tc>
        <w:tc>
          <w:tcPr>
            <w:tcW w:w="1125"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0</w:t>
            </w:r>
          </w:p>
        </w:tc>
        <w:tc>
          <w:tcPr>
            <w:tcW w:w="735"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0</w:t>
            </w:r>
          </w:p>
        </w:tc>
        <w:tc>
          <w:tcPr>
            <w:tcW w:w="960" w:type="dxa"/>
            <w:noWrap/>
            <w:tcMar>
              <w:top w:w="0" w:type="dxa"/>
              <w:left w:w="70" w:type="dxa"/>
              <w:bottom w:w="0" w:type="dxa"/>
              <w:right w:w="70" w:type="dxa"/>
            </w:tcMar>
            <w:vAlign w:val="bottom"/>
            <w:hideMark/>
          </w:tcPr>
          <w:p w:rsidR="00B42E73" w:rsidRDefault="00B42E73" w:rsidP="00F71460"/>
        </w:tc>
      </w:tr>
      <w:tr w:rsidR="00B42E73" w:rsidTr="00F71460">
        <w:trPr>
          <w:trHeight w:val="465"/>
        </w:trPr>
        <w:tc>
          <w:tcPr>
            <w:tcW w:w="820" w:type="dxa"/>
            <w:tcBorders>
              <w:top w:val="nil"/>
              <w:left w:val="single" w:sz="8" w:space="0" w:color="6C6C6C"/>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rPr>
                <w:rFonts w:ascii="Arial" w:eastAsia="Calibri" w:hAnsi="Arial" w:cs="Arial"/>
                <w:color w:val="000000"/>
                <w:sz w:val="16"/>
                <w:szCs w:val="16"/>
              </w:rPr>
            </w:pPr>
            <w:r>
              <w:rPr>
                <w:rFonts w:ascii="Arial" w:hAnsi="Arial" w:cs="Arial"/>
                <w:color w:val="000000"/>
                <w:sz w:val="16"/>
                <w:szCs w:val="16"/>
              </w:rPr>
              <w:t>MMP-OSS</w:t>
            </w:r>
          </w:p>
        </w:tc>
        <w:tc>
          <w:tcPr>
            <w:tcW w:w="496"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color w:val="000000"/>
                <w:sz w:val="16"/>
                <w:szCs w:val="16"/>
              </w:rPr>
            </w:pPr>
            <w:r>
              <w:rPr>
                <w:rFonts w:ascii="Arial" w:hAnsi="Arial" w:cs="Arial"/>
                <w:color w:val="000000"/>
                <w:sz w:val="16"/>
                <w:szCs w:val="16"/>
              </w:rPr>
              <w:t>2015</w:t>
            </w:r>
          </w:p>
        </w:tc>
        <w:tc>
          <w:tcPr>
            <w:tcW w:w="3840"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rPr>
                <w:rFonts w:ascii="Arial" w:eastAsia="Calibri" w:hAnsi="Arial" w:cs="Arial"/>
                <w:color w:val="000000"/>
                <w:sz w:val="16"/>
                <w:szCs w:val="16"/>
              </w:rPr>
            </w:pPr>
            <w:r>
              <w:rPr>
                <w:rFonts w:ascii="Arial" w:hAnsi="Arial" w:cs="Arial"/>
                <w:color w:val="000000"/>
                <w:sz w:val="16"/>
                <w:szCs w:val="16"/>
              </w:rPr>
              <w:t>Ordinace pro osoby bez domova a cizince - ordinace psychiatrie, kožní</w:t>
            </w:r>
          </w:p>
        </w:tc>
        <w:tc>
          <w:tcPr>
            <w:tcW w:w="900"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rPr>
                <w:rFonts w:ascii="Arial" w:eastAsia="Calibri" w:hAnsi="Arial" w:cs="Arial"/>
                <w:color w:val="000000"/>
                <w:sz w:val="16"/>
                <w:szCs w:val="16"/>
              </w:rPr>
            </w:pPr>
            <w:r>
              <w:rPr>
                <w:rFonts w:ascii="Arial" w:hAnsi="Arial" w:cs="Arial"/>
                <w:color w:val="000000"/>
                <w:sz w:val="16"/>
                <w:szCs w:val="16"/>
              </w:rPr>
              <w:t>Ne</w:t>
            </w:r>
          </w:p>
        </w:tc>
        <w:tc>
          <w:tcPr>
            <w:tcW w:w="1125"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color w:val="000000"/>
                <w:sz w:val="16"/>
                <w:szCs w:val="16"/>
              </w:rPr>
            </w:pPr>
            <w:r>
              <w:rPr>
                <w:rFonts w:ascii="Arial" w:hAnsi="Arial" w:cs="Arial"/>
                <w:color w:val="000000"/>
                <w:sz w:val="16"/>
                <w:szCs w:val="16"/>
              </w:rPr>
              <w:t>250 000,00</w:t>
            </w:r>
          </w:p>
        </w:tc>
        <w:tc>
          <w:tcPr>
            <w:tcW w:w="735"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color w:val="000000"/>
                <w:sz w:val="16"/>
                <w:szCs w:val="16"/>
              </w:rPr>
            </w:pPr>
            <w:r>
              <w:rPr>
                <w:rFonts w:ascii="Arial" w:hAnsi="Arial" w:cs="Arial"/>
                <w:color w:val="000000"/>
                <w:sz w:val="16"/>
                <w:szCs w:val="16"/>
              </w:rPr>
              <w:t>0</w:t>
            </w:r>
          </w:p>
        </w:tc>
        <w:tc>
          <w:tcPr>
            <w:tcW w:w="760"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color w:val="000000"/>
                <w:sz w:val="16"/>
                <w:szCs w:val="16"/>
              </w:rPr>
            </w:pPr>
            <w:r>
              <w:rPr>
                <w:rFonts w:ascii="Arial" w:hAnsi="Arial" w:cs="Arial"/>
                <w:color w:val="000000"/>
                <w:sz w:val="16"/>
                <w:szCs w:val="16"/>
              </w:rPr>
              <w:t>0</w:t>
            </w:r>
          </w:p>
        </w:tc>
        <w:tc>
          <w:tcPr>
            <w:tcW w:w="960" w:type="dxa"/>
            <w:noWrap/>
            <w:tcMar>
              <w:top w:w="0" w:type="dxa"/>
              <w:left w:w="70" w:type="dxa"/>
              <w:bottom w:w="0" w:type="dxa"/>
              <w:right w:w="70" w:type="dxa"/>
            </w:tcMar>
            <w:vAlign w:val="bottom"/>
            <w:hideMark/>
          </w:tcPr>
          <w:p w:rsidR="00B42E73" w:rsidRDefault="00B42E73" w:rsidP="00F71460"/>
        </w:tc>
      </w:tr>
      <w:tr w:rsidR="00B42E73" w:rsidTr="00F71460">
        <w:trPr>
          <w:trHeight w:val="240"/>
        </w:trPr>
        <w:tc>
          <w:tcPr>
            <w:tcW w:w="820" w:type="dxa"/>
            <w:tcBorders>
              <w:top w:val="nil"/>
              <w:left w:val="single" w:sz="8" w:space="0" w:color="6C6C6C"/>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rPr>
                <w:rFonts w:ascii="Arial" w:eastAsia="Calibri" w:hAnsi="Arial" w:cs="Arial"/>
                <w:color w:val="000000"/>
                <w:sz w:val="16"/>
                <w:szCs w:val="16"/>
              </w:rPr>
            </w:pPr>
            <w:r>
              <w:rPr>
                <w:rFonts w:ascii="Arial" w:hAnsi="Arial" w:cs="Arial"/>
                <w:color w:val="000000"/>
                <w:sz w:val="16"/>
                <w:szCs w:val="16"/>
              </w:rPr>
              <w:t>MMP-OSS</w:t>
            </w:r>
          </w:p>
        </w:tc>
        <w:tc>
          <w:tcPr>
            <w:tcW w:w="496"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color w:val="000000"/>
                <w:sz w:val="16"/>
                <w:szCs w:val="16"/>
              </w:rPr>
            </w:pPr>
            <w:r>
              <w:rPr>
                <w:rFonts w:ascii="Arial" w:hAnsi="Arial" w:cs="Arial"/>
                <w:color w:val="000000"/>
                <w:sz w:val="16"/>
                <w:szCs w:val="16"/>
              </w:rPr>
              <w:t>2015</w:t>
            </w:r>
          </w:p>
        </w:tc>
        <w:tc>
          <w:tcPr>
            <w:tcW w:w="3840"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rPr>
                <w:rFonts w:ascii="Arial" w:eastAsia="Calibri" w:hAnsi="Arial" w:cs="Arial"/>
                <w:color w:val="000000"/>
                <w:sz w:val="16"/>
                <w:szCs w:val="16"/>
              </w:rPr>
            </w:pPr>
            <w:r>
              <w:rPr>
                <w:rFonts w:ascii="Arial" w:hAnsi="Arial" w:cs="Arial"/>
                <w:color w:val="000000"/>
                <w:sz w:val="16"/>
                <w:szCs w:val="16"/>
              </w:rPr>
              <w:t>Zdravotní péče pro lidi bez domova</w:t>
            </w:r>
          </w:p>
        </w:tc>
        <w:tc>
          <w:tcPr>
            <w:tcW w:w="900"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rPr>
                <w:rFonts w:ascii="Arial" w:eastAsia="Calibri" w:hAnsi="Arial" w:cs="Arial"/>
                <w:color w:val="000000"/>
                <w:sz w:val="16"/>
                <w:szCs w:val="16"/>
              </w:rPr>
            </w:pPr>
            <w:r>
              <w:rPr>
                <w:rFonts w:ascii="Arial" w:hAnsi="Arial" w:cs="Arial"/>
                <w:color w:val="000000"/>
                <w:sz w:val="16"/>
                <w:szCs w:val="16"/>
              </w:rPr>
              <w:t>Ne</w:t>
            </w:r>
          </w:p>
        </w:tc>
        <w:tc>
          <w:tcPr>
            <w:tcW w:w="1125"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color w:val="000000"/>
                <w:sz w:val="16"/>
                <w:szCs w:val="16"/>
              </w:rPr>
            </w:pPr>
            <w:r>
              <w:rPr>
                <w:rFonts w:ascii="Arial" w:hAnsi="Arial" w:cs="Arial"/>
                <w:color w:val="000000"/>
                <w:sz w:val="16"/>
                <w:szCs w:val="16"/>
              </w:rPr>
              <w:t>0</w:t>
            </w:r>
          </w:p>
        </w:tc>
        <w:tc>
          <w:tcPr>
            <w:tcW w:w="735"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color w:val="000000"/>
                <w:sz w:val="16"/>
                <w:szCs w:val="16"/>
              </w:rPr>
            </w:pPr>
            <w:r>
              <w:rPr>
                <w:rFonts w:ascii="Arial" w:hAnsi="Arial" w:cs="Arial"/>
                <w:color w:val="000000"/>
                <w:sz w:val="16"/>
                <w:szCs w:val="16"/>
              </w:rPr>
              <w:t>0</w:t>
            </w:r>
          </w:p>
        </w:tc>
        <w:tc>
          <w:tcPr>
            <w:tcW w:w="760" w:type="dxa"/>
            <w:tcBorders>
              <w:top w:val="nil"/>
              <w:left w:val="nil"/>
              <w:bottom w:val="single" w:sz="8" w:space="0" w:color="6C6C6C"/>
              <w:right w:val="single" w:sz="8" w:space="0" w:color="6C6C6C"/>
            </w:tcBorders>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color w:val="000000"/>
                <w:sz w:val="16"/>
                <w:szCs w:val="16"/>
              </w:rPr>
            </w:pPr>
            <w:r>
              <w:rPr>
                <w:rFonts w:ascii="Arial" w:hAnsi="Arial" w:cs="Arial"/>
                <w:color w:val="000000"/>
                <w:sz w:val="16"/>
                <w:szCs w:val="16"/>
              </w:rPr>
              <w:t>0</w:t>
            </w:r>
          </w:p>
        </w:tc>
        <w:tc>
          <w:tcPr>
            <w:tcW w:w="960" w:type="dxa"/>
            <w:noWrap/>
            <w:tcMar>
              <w:top w:w="0" w:type="dxa"/>
              <w:left w:w="70" w:type="dxa"/>
              <w:bottom w:w="0" w:type="dxa"/>
              <w:right w:w="70" w:type="dxa"/>
            </w:tcMar>
            <w:vAlign w:val="bottom"/>
            <w:hideMark/>
          </w:tcPr>
          <w:p w:rsidR="00B42E73" w:rsidRDefault="00B42E73" w:rsidP="00F71460"/>
        </w:tc>
      </w:tr>
      <w:tr w:rsidR="00B42E73" w:rsidTr="00F71460">
        <w:trPr>
          <w:trHeight w:val="240"/>
        </w:trPr>
        <w:tc>
          <w:tcPr>
            <w:tcW w:w="6056" w:type="dxa"/>
            <w:gridSpan w:val="4"/>
            <w:tcBorders>
              <w:top w:val="nil"/>
              <w:left w:val="single" w:sz="8" w:space="0" w:color="6C6C6C"/>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Suma 2015</w:t>
            </w:r>
          </w:p>
        </w:tc>
        <w:tc>
          <w:tcPr>
            <w:tcW w:w="1125"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250 000,00</w:t>
            </w:r>
          </w:p>
        </w:tc>
        <w:tc>
          <w:tcPr>
            <w:tcW w:w="735"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0</w:t>
            </w:r>
          </w:p>
        </w:tc>
        <w:tc>
          <w:tcPr>
            <w:tcW w:w="960" w:type="dxa"/>
            <w:noWrap/>
            <w:tcMar>
              <w:top w:w="0" w:type="dxa"/>
              <w:left w:w="70" w:type="dxa"/>
              <w:bottom w:w="0" w:type="dxa"/>
              <w:right w:w="70" w:type="dxa"/>
            </w:tcMar>
            <w:vAlign w:val="bottom"/>
            <w:hideMark/>
          </w:tcPr>
          <w:p w:rsidR="00B42E73" w:rsidRDefault="00B42E73" w:rsidP="00F71460"/>
        </w:tc>
      </w:tr>
      <w:tr w:rsidR="00B42E73" w:rsidTr="00F71460">
        <w:trPr>
          <w:trHeight w:val="240"/>
        </w:trPr>
        <w:tc>
          <w:tcPr>
            <w:tcW w:w="6056" w:type="dxa"/>
            <w:gridSpan w:val="4"/>
            <w:tcBorders>
              <w:top w:val="nil"/>
              <w:left w:val="single" w:sz="8" w:space="0" w:color="6C6C6C"/>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Suma 2013 - 2015</w:t>
            </w:r>
          </w:p>
        </w:tc>
        <w:tc>
          <w:tcPr>
            <w:tcW w:w="1125"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250 000,00</w:t>
            </w:r>
          </w:p>
        </w:tc>
        <w:tc>
          <w:tcPr>
            <w:tcW w:w="735"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auto" w:fill="F0E68C"/>
            <w:tcMar>
              <w:top w:w="0" w:type="dxa"/>
              <w:left w:w="70" w:type="dxa"/>
              <w:bottom w:w="0" w:type="dxa"/>
              <w:right w:w="70" w:type="dxa"/>
            </w:tcMar>
            <w:vAlign w:val="bottom"/>
            <w:hideMark/>
          </w:tcPr>
          <w:p w:rsidR="00B42E73" w:rsidRPr="001A1CC6" w:rsidRDefault="00B42E73" w:rsidP="00F71460">
            <w:pPr>
              <w:jc w:val="right"/>
              <w:rPr>
                <w:rFonts w:ascii="Arial" w:eastAsia="Calibri" w:hAnsi="Arial" w:cs="Arial"/>
                <w:b/>
                <w:bCs/>
                <w:color w:val="000000"/>
                <w:sz w:val="16"/>
                <w:szCs w:val="16"/>
              </w:rPr>
            </w:pPr>
            <w:r>
              <w:rPr>
                <w:rFonts w:ascii="Arial" w:hAnsi="Arial" w:cs="Arial"/>
                <w:b/>
                <w:bCs/>
                <w:color w:val="000000"/>
                <w:sz w:val="16"/>
                <w:szCs w:val="16"/>
              </w:rPr>
              <w:t>0</w:t>
            </w:r>
          </w:p>
        </w:tc>
        <w:tc>
          <w:tcPr>
            <w:tcW w:w="960" w:type="dxa"/>
            <w:noWrap/>
            <w:tcMar>
              <w:top w:w="0" w:type="dxa"/>
              <w:left w:w="70" w:type="dxa"/>
              <w:bottom w:w="0" w:type="dxa"/>
              <w:right w:w="70" w:type="dxa"/>
            </w:tcMar>
            <w:vAlign w:val="bottom"/>
            <w:hideMark/>
          </w:tcPr>
          <w:p w:rsidR="00B42E73" w:rsidRDefault="00B42E73" w:rsidP="00F71460"/>
        </w:tc>
      </w:tr>
    </w:tbl>
    <w:p w:rsidR="002015AB" w:rsidRPr="00EB58F7" w:rsidRDefault="002015AB" w:rsidP="00EB58F7">
      <w:pPr>
        <w:jc w:val="both"/>
        <w:rPr>
          <w:sz w:val="24"/>
          <w:szCs w:val="24"/>
        </w:rPr>
      </w:pPr>
    </w:p>
    <w:p w:rsidR="00A2636D" w:rsidRDefault="00A2636D" w:rsidP="00A2636D">
      <w:pPr>
        <w:rPr>
          <w:b/>
          <w:sz w:val="24"/>
        </w:rPr>
      </w:pPr>
      <w:r>
        <w:rPr>
          <w:b/>
          <w:sz w:val="24"/>
        </w:rPr>
        <w:t xml:space="preserve">3. Předpokládaný cílový stav: </w:t>
      </w:r>
    </w:p>
    <w:p w:rsidR="00EB58F7" w:rsidRDefault="00EB58F7" w:rsidP="00214102">
      <w:pPr>
        <w:pStyle w:val="vlevot"/>
        <w:numPr>
          <w:ilvl w:val="0"/>
          <w:numId w:val="8"/>
        </w:numPr>
        <w:rPr>
          <w:b w:val="0"/>
          <w:szCs w:val="24"/>
        </w:rPr>
      </w:pPr>
      <w:r w:rsidRPr="00EB58F7">
        <w:rPr>
          <w:b w:val="0"/>
          <w:szCs w:val="24"/>
        </w:rPr>
        <w:t xml:space="preserve">Provést rozpočtové opatření </w:t>
      </w:r>
      <w:r w:rsidR="00312DEB">
        <w:rPr>
          <w:b w:val="0"/>
          <w:szCs w:val="24"/>
        </w:rPr>
        <w:t xml:space="preserve">dle bodu II. </w:t>
      </w:r>
      <w:r w:rsidR="00B42E73">
        <w:rPr>
          <w:b w:val="0"/>
          <w:szCs w:val="24"/>
        </w:rPr>
        <w:t xml:space="preserve">2 </w:t>
      </w:r>
      <w:r w:rsidR="00312DEB">
        <w:rPr>
          <w:b w:val="0"/>
          <w:szCs w:val="24"/>
        </w:rPr>
        <w:t>návrhu usnesení.</w:t>
      </w:r>
    </w:p>
    <w:p w:rsidR="009B648D" w:rsidRPr="00214102" w:rsidRDefault="00214102" w:rsidP="00214102">
      <w:pPr>
        <w:pStyle w:val="Odstavecseseznamem"/>
        <w:numPr>
          <w:ilvl w:val="0"/>
          <w:numId w:val="8"/>
        </w:numPr>
        <w:jc w:val="both"/>
        <w:rPr>
          <w:bCs/>
          <w:sz w:val="24"/>
          <w:szCs w:val="24"/>
        </w:rPr>
      </w:pPr>
      <w:r>
        <w:rPr>
          <w:bCs/>
          <w:sz w:val="24"/>
          <w:szCs w:val="24"/>
        </w:rPr>
        <w:t>Uzavřít veřejnoprávní smlouvu a p</w:t>
      </w:r>
      <w:r w:rsidR="009B648D" w:rsidRPr="00214102">
        <w:rPr>
          <w:bCs/>
          <w:sz w:val="24"/>
          <w:szCs w:val="24"/>
        </w:rPr>
        <w:t xml:space="preserve">oskytnout dotaci ve výši 300 000,- Kč organizaci s názvem </w:t>
      </w:r>
      <w:r w:rsidR="00260A05" w:rsidRPr="00214102">
        <w:rPr>
          <w:sz w:val="24"/>
        </w:rPr>
        <w:t xml:space="preserve">Poliklinika Bory, spol. s r.o., IČ 49787632 Čechova 2641/44, Plzeň na poskytování zdravotní péče osobám ohroženým sociálním vyloučením či již sociálně vyloučeným, s důrazem na osoby bez domova a cizince, v rozsahu cíleného vyšetření v prostorách Městské </w:t>
      </w:r>
      <w:r w:rsidR="00175FEC" w:rsidRPr="00214102">
        <w:rPr>
          <w:sz w:val="24"/>
        </w:rPr>
        <w:t>c</w:t>
      </w:r>
      <w:r w:rsidR="00260A05" w:rsidRPr="00214102">
        <w:rPr>
          <w:sz w:val="24"/>
        </w:rPr>
        <w:t xml:space="preserve">harity Plzeň, Domova sv. Františka, Wenzigova 5, Plzeň </w:t>
      </w:r>
      <w:r w:rsidR="009B648D" w:rsidRPr="00214102">
        <w:rPr>
          <w:bCs/>
          <w:sz w:val="24"/>
          <w:szCs w:val="24"/>
        </w:rPr>
        <w:t xml:space="preserve">v souladu s předpisem Evropských společenství podle pravidla „de </w:t>
      </w:r>
      <w:proofErr w:type="spellStart"/>
      <w:r w:rsidR="009B648D" w:rsidRPr="00214102">
        <w:rPr>
          <w:bCs/>
          <w:sz w:val="24"/>
          <w:szCs w:val="24"/>
        </w:rPr>
        <w:t>minimis</w:t>
      </w:r>
      <w:proofErr w:type="spellEnd"/>
      <w:r w:rsidR="009B648D" w:rsidRPr="00214102">
        <w:rPr>
          <w:bCs/>
          <w:sz w:val="24"/>
          <w:szCs w:val="24"/>
        </w:rPr>
        <w:t>“ po provedení rozpočtového opatření.</w:t>
      </w:r>
    </w:p>
    <w:p w:rsidR="009B648D" w:rsidRPr="003F091B" w:rsidRDefault="009B648D" w:rsidP="00EB58F7">
      <w:pPr>
        <w:pStyle w:val="vlevot"/>
        <w:rPr>
          <w:b w:val="0"/>
        </w:rPr>
      </w:pPr>
    </w:p>
    <w:p w:rsidR="00A2636D" w:rsidRDefault="00A2636D" w:rsidP="00A2636D">
      <w:pPr>
        <w:rPr>
          <w:b/>
          <w:sz w:val="24"/>
        </w:rPr>
      </w:pPr>
      <w:r>
        <w:rPr>
          <w:b/>
          <w:sz w:val="24"/>
        </w:rPr>
        <w:t>4. Navrhované varianty řešení:</w:t>
      </w:r>
    </w:p>
    <w:p w:rsidR="00A2636D" w:rsidRDefault="00A2636D" w:rsidP="00A2636D">
      <w:pPr>
        <w:rPr>
          <w:b/>
          <w:sz w:val="24"/>
        </w:rPr>
      </w:pPr>
      <w:r>
        <w:rPr>
          <w:sz w:val="24"/>
        </w:rPr>
        <w:t>Viz n</w:t>
      </w:r>
      <w:r w:rsidRPr="003A0583">
        <w:rPr>
          <w:sz w:val="24"/>
        </w:rPr>
        <w:t>ávrh usnesení</w:t>
      </w:r>
      <w:r>
        <w:rPr>
          <w:b/>
          <w:sz w:val="24"/>
        </w:rPr>
        <w:t>.</w:t>
      </w:r>
    </w:p>
    <w:p w:rsidR="00A2636D" w:rsidRDefault="00A2636D" w:rsidP="00A2636D">
      <w:pPr>
        <w:rPr>
          <w:sz w:val="24"/>
        </w:rPr>
      </w:pPr>
    </w:p>
    <w:p w:rsidR="00A2636D" w:rsidRDefault="00A2636D" w:rsidP="00A2636D">
      <w:pPr>
        <w:rPr>
          <w:b/>
          <w:sz w:val="24"/>
        </w:rPr>
      </w:pPr>
      <w:r>
        <w:rPr>
          <w:b/>
          <w:sz w:val="24"/>
        </w:rPr>
        <w:t>5. Doporučená varianta řešení:</w:t>
      </w:r>
    </w:p>
    <w:p w:rsidR="00A2636D" w:rsidRDefault="00A2636D" w:rsidP="00A2636D">
      <w:pPr>
        <w:pStyle w:val="vlevo"/>
      </w:pPr>
      <w:r w:rsidRPr="00B83684">
        <w:t>Viz návrh usnesení, jiná varianta se nenavrhuje.</w:t>
      </w:r>
    </w:p>
    <w:p w:rsidR="00EB58F7" w:rsidRDefault="00EB58F7" w:rsidP="00A2636D">
      <w:pPr>
        <w:pStyle w:val="vlevo"/>
      </w:pPr>
    </w:p>
    <w:p w:rsidR="00E42220" w:rsidRDefault="00A2636D" w:rsidP="00E42220">
      <w:pPr>
        <w:pStyle w:val="vlevo"/>
      </w:pPr>
      <w:r>
        <w:rPr>
          <w:b/>
        </w:rPr>
        <w:t>6. Finanční nároky řešení a možnosti finančního krytí (včetně všech následných</w:t>
      </w:r>
      <w:r w:rsidR="001E3815">
        <w:rPr>
          <w:b/>
        </w:rPr>
        <w:t xml:space="preserve">, </w:t>
      </w:r>
      <w:r>
        <w:rPr>
          <w:b/>
        </w:rPr>
        <w:t>například provozních nákladů):</w:t>
      </w:r>
    </w:p>
    <w:p w:rsidR="00EB58F7" w:rsidRDefault="00312DEB" w:rsidP="00A2636D">
      <w:pPr>
        <w:pStyle w:val="vlevo"/>
      </w:pPr>
      <w:r>
        <w:t>Poskytnutí dotace bude kryto z rozpočtu OSS MMP pro rok 2015 po provedení r</w:t>
      </w:r>
      <w:r w:rsidR="00EB58F7">
        <w:t>ozpočtové</w:t>
      </w:r>
      <w:r>
        <w:t>ho opatření.</w:t>
      </w:r>
    </w:p>
    <w:p w:rsidR="00312DEB" w:rsidRDefault="00312DEB" w:rsidP="00A2636D">
      <w:pPr>
        <w:pStyle w:val="vlevo"/>
      </w:pPr>
    </w:p>
    <w:p w:rsidR="00A2636D" w:rsidRDefault="00A2636D" w:rsidP="00A2636D">
      <w:pPr>
        <w:numPr>
          <w:ilvl w:val="0"/>
          <w:numId w:val="1"/>
        </w:numPr>
        <w:tabs>
          <w:tab w:val="clear" w:pos="720"/>
          <w:tab w:val="num" w:pos="284"/>
        </w:tabs>
        <w:ind w:left="284" w:hanging="284"/>
        <w:rPr>
          <w:b/>
          <w:sz w:val="24"/>
        </w:rPr>
      </w:pPr>
      <w:r>
        <w:rPr>
          <w:b/>
          <w:sz w:val="24"/>
        </w:rPr>
        <w:t>Návrh termínu realizace a určení zodpovědných pracovníků:</w:t>
      </w:r>
    </w:p>
    <w:p w:rsidR="00A2636D" w:rsidRDefault="00A2636D" w:rsidP="00A2636D">
      <w:pPr>
        <w:widowControl w:val="0"/>
        <w:tabs>
          <w:tab w:val="left" w:pos="700"/>
        </w:tabs>
        <w:autoSpaceDE w:val="0"/>
        <w:autoSpaceDN w:val="0"/>
        <w:adjustRightInd w:val="0"/>
        <w:spacing w:line="273" w:lineRule="exact"/>
        <w:ind w:right="2630"/>
        <w:jc w:val="both"/>
        <w:rPr>
          <w:sz w:val="24"/>
          <w:szCs w:val="24"/>
        </w:rPr>
      </w:pPr>
      <w:r w:rsidRPr="004951B1">
        <w:rPr>
          <w:sz w:val="24"/>
          <w:szCs w:val="24"/>
        </w:rPr>
        <w:t>Viz ukládací část.</w:t>
      </w:r>
    </w:p>
    <w:p w:rsidR="00A2636D" w:rsidRDefault="00A2636D" w:rsidP="00A2636D">
      <w:pPr>
        <w:widowControl w:val="0"/>
        <w:tabs>
          <w:tab w:val="left" w:pos="700"/>
        </w:tabs>
        <w:autoSpaceDE w:val="0"/>
        <w:autoSpaceDN w:val="0"/>
        <w:adjustRightInd w:val="0"/>
        <w:spacing w:line="273" w:lineRule="exact"/>
        <w:ind w:right="2630"/>
        <w:jc w:val="both"/>
        <w:rPr>
          <w:sz w:val="24"/>
          <w:szCs w:val="24"/>
        </w:rPr>
      </w:pPr>
    </w:p>
    <w:p w:rsidR="00A2636D" w:rsidRDefault="00A2636D" w:rsidP="00EB58F7">
      <w:pPr>
        <w:rPr>
          <w:b/>
          <w:sz w:val="24"/>
        </w:rPr>
      </w:pPr>
      <w:r>
        <w:rPr>
          <w:b/>
          <w:sz w:val="24"/>
        </w:rPr>
        <w:t>8. Dříve vydaná usnesení orgánů města nebo městských obvodů, která s  tímto návrhem souvisí:</w:t>
      </w:r>
    </w:p>
    <w:p w:rsidR="00EF6EFE" w:rsidRDefault="00EF6EFE" w:rsidP="00EF6EFE">
      <w:pPr>
        <w:pStyle w:val="vlevo"/>
      </w:pPr>
      <w:r>
        <w:t>Usnesení ZMP č. 611 ze dne 11. prosince 2014.</w:t>
      </w:r>
    </w:p>
    <w:p w:rsidR="00BB0883" w:rsidRPr="00BB0883" w:rsidRDefault="00BB0883" w:rsidP="00BB0883">
      <w:pPr>
        <w:pStyle w:val="vlevo"/>
        <w:rPr>
          <w:szCs w:val="24"/>
        </w:rPr>
      </w:pPr>
      <w:r w:rsidRPr="00BB0883">
        <w:rPr>
          <w:szCs w:val="24"/>
        </w:rPr>
        <w:t>Usnesení KSVZO RMP č. 2/15 ze dne 25. 3. 2015.</w:t>
      </w:r>
    </w:p>
    <w:p w:rsidR="00694833" w:rsidRDefault="00BB0883" w:rsidP="00EB58F7">
      <w:pPr>
        <w:rPr>
          <w:b/>
          <w:sz w:val="14"/>
          <w:szCs w:val="14"/>
        </w:rPr>
      </w:pPr>
      <w:r w:rsidRPr="00DA61D0">
        <w:rPr>
          <w:sz w:val="24"/>
          <w:szCs w:val="24"/>
        </w:rPr>
        <w:t>Usnesení RMP č.</w:t>
      </w:r>
      <w:r w:rsidR="00B64D00">
        <w:rPr>
          <w:sz w:val="24"/>
          <w:szCs w:val="24"/>
        </w:rPr>
        <w:t xml:space="preserve"> 510 </w:t>
      </w:r>
      <w:bookmarkStart w:id="0" w:name="_GoBack"/>
      <w:bookmarkEnd w:id="0"/>
      <w:r w:rsidRPr="00DA61D0">
        <w:rPr>
          <w:sz w:val="24"/>
          <w:szCs w:val="24"/>
        </w:rPr>
        <w:t xml:space="preserve">ze dne 30. </w:t>
      </w:r>
      <w:r>
        <w:rPr>
          <w:sz w:val="24"/>
          <w:szCs w:val="24"/>
        </w:rPr>
        <w:t>d</w:t>
      </w:r>
      <w:r w:rsidRPr="00DA61D0">
        <w:rPr>
          <w:sz w:val="24"/>
          <w:szCs w:val="24"/>
        </w:rPr>
        <w:t>ubna 2015.</w:t>
      </w:r>
    </w:p>
    <w:p w:rsidR="00EF6EFE" w:rsidRPr="00933CC0" w:rsidRDefault="00EF6EFE" w:rsidP="00EB58F7">
      <w:pPr>
        <w:rPr>
          <w:b/>
          <w:sz w:val="14"/>
          <w:szCs w:val="14"/>
        </w:rPr>
      </w:pPr>
    </w:p>
    <w:p w:rsidR="00A2636D" w:rsidRDefault="00A2636D" w:rsidP="00A2636D">
      <w:pPr>
        <w:pStyle w:val="Paragrafneeslovan"/>
        <w:rPr>
          <w:b/>
          <w:bCs/>
        </w:rPr>
      </w:pPr>
      <w:r>
        <w:rPr>
          <w:b/>
          <w:bCs/>
        </w:rPr>
        <w:t>9. Závazky či pohledávky vůči městu Plzeň:</w:t>
      </w:r>
    </w:p>
    <w:p w:rsidR="00A2636D" w:rsidRDefault="00312DEB" w:rsidP="00A2636D">
      <w:pPr>
        <w:pStyle w:val="Paragrafneeslovan"/>
      </w:pPr>
      <w:r>
        <w:t>Nejsou.</w:t>
      </w:r>
    </w:p>
    <w:p w:rsidR="00A2636D" w:rsidRDefault="00A2636D" w:rsidP="00A2636D">
      <w:pPr>
        <w:pStyle w:val="Paragrafneeslovan"/>
      </w:pPr>
    </w:p>
    <w:p w:rsidR="007E674D" w:rsidRDefault="00A2636D" w:rsidP="00A2636D">
      <w:pPr>
        <w:pStyle w:val="Paragrafneeslovan"/>
        <w:rPr>
          <w:b/>
          <w:bCs/>
        </w:rPr>
      </w:pPr>
      <w:r w:rsidRPr="00365D68">
        <w:rPr>
          <w:b/>
          <w:bCs/>
        </w:rPr>
        <w:t>10. Přílohy:</w:t>
      </w:r>
    </w:p>
    <w:p w:rsidR="00BB0883" w:rsidRPr="00DA61D0" w:rsidRDefault="00BB0883" w:rsidP="00A2636D">
      <w:pPr>
        <w:pStyle w:val="Paragrafneeslovan"/>
        <w:rPr>
          <w:bCs/>
        </w:rPr>
      </w:pPr>
      <w:r w:rsidRPr="00DA61D0">
        <w:rPr>
          <w:bCs/>
        </w:rPr>
        <w:t>Nejsou.</w:t>
      </w:r>
    </w:p>
    <w:p w:rsidR="00EF6EFE" w:rsidRDefault="00EF6EFE" w:rsidP="00DA61D0">
      <w:pPr>
        <w:pStyle w:val="Paragrafneeslovan"/>
      </w:pPr>
    </w:p>
    <w:p w:rsidR="00D877B9" w:rsidRPr="00B42E73" w:rsidRDefault="00D877B9" w:rsidP="00EF6EFE">
      <w:pPr>
        <w:rPr>
          <w:sz w:val="24"/>
        </w:rPr>
      </w:pPr>
    </w:p>
    <w:sectPr w:rsidR="00D877B9" w:rsidRPr="00B42E73">
      <w:footerReference w:type="even" r:id="rId9"/>
      <w:footerReference w:type="default" r:id="rId10"/>
      <w:pgSz w:w="11906" w:h="16838"/>
      <w:pgMar w:top="1417" w:right="1274"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20" w:rsidRDefault="00F10C20">
      <w:r>
        <w:separator/>
      </w:r>
    </w:p>
  </w:endnote>
  <w:endnote w:type="continuationSeparator" w:id="0">
    <w:p w:rsidR="00F10C20" w:rsidRDefault="00F1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D3" w:rsidRDefault="00BE578D" w:rsidP="0059074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C2CD3" w:rsidRDefault="00F10C20" w:rsidP="004951B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D3" w:rsidRDefault="00BE578D">
    <w:pPr>
      <w:pStyle w:val="Zpat"/>
      <w:jc w:val="right"/>
    </w:pPr>
    <w:r>
      <w:fldChar w:fldCharType="begin"/>
    </w:r>
    <w:r>
      <w:instrText>PAGE   \* MERGEFORMAT</w:instrText>
    </w:r>
    <w:r>
      <w:fldChar w:fldCharType="separate"/>
    </w:r>
    <w:r w:rsidR="00B64D00">
      <w:rPr>
        <w:noProof/>
      </w:rPr>
      <w:t>2</w:t>
    </w:r>
    <w:r>
      <w:fldChar w:fldCharType="end"/>
    </w:r>
  </w:p>
  <w:p w:rsidR="001C2CD3" w:rsidRDefault="00F10C20" w:rsidP="004951B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20" w:rsidRDefault="00F10C20">
      <w:r>
        <w:separator/>
      </w:r>
    </w:p>
  </w:footnote>
  <w:footnote w:type="continuationSeparator" w:id="0">
    <w:p w:rsidR="00F10C20" w:rsidRDefault="00F10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4F8"/>
    <w:multiLevelType w:val="hybridMultilevel"/>
    <w:tmpl w:val="08002826"/>
    <w:lvl w:ilvl="0" w:tplc="EA2ADC82">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BC2132E"/>
    <w:multiLevelType w:val="hybridMultilevel"/>
    <w:tmpl w:val="EDF8DFB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7A22600"/>
    <w:multiLevelType w:val="hybridMultilevel"/>
    <w:tmpl w:val="00AE8FE6"/>
    <w:lvl w:ilvl="0" w:tplc="D1D0D602">
      <w:start w:val="1"/>
      <w:numFmt w:val="bullet"/>
      <w:lvlText w:val=""/>
      <w:lvlJc w:val="left"/>
      <w:pPr>
        <w:tabs>
          <w:tab w:val="num" w:pos="720"/>
        </w:tabs>
        <w:ind w:left="720" w:hanging="360"/>
      </w:pPr>
      <w:rPr>
        <w:rFonts w:ascii="Wingdings 3" w:hAnsi="Wingdings 3" w:hint="default"/>
      </w:rPr>
    </w:lvl>
    <w:lvl w:ilvl="1" w:tplc="AD229382" w:tentative="1">
      <w:start w:val="1"/>
      <w:numFmt w:val="bullet"/>
      <w:lvlText w:val=""/>
      <w:lvlJc w:val="left"/>
      <w:pPr>
        <w:tabs>
          <w:tab w:val="num" w:pos="1440"/>
        </w:tabs>
        <w:ind w:left="1440" w:hanging="360"/>
      </w:pPr>
      <w:rPr>
        <w:rFonts w:ascii="Wingdings 3" w:hAnsi="Wingdings 3" w:hint="default"/>
      </w:rPr>
    </w:lvl>
    <w:lvl w:ilvl="2" w:tplc="7518B260" w:tentative="1">
      <w:start w:val="1"/>
      <w:numFmt w:val="bullet"/>
      <w:lvlText w:val=""/>
      <w:lvlJc w:val="left"/>
      <w:pPr>
        <w:tabs>
          <w:tab w:val="num" w:pos="2160"/>
        </w:tabs>
        <w:ind w:left="2160" w:hanging="360"/>
      </w:pPr>
      <w:rPr>
        <w:rFonts w:ascii="Wingdings 3" w:hAnsi="Wingdings 3" w:hint="default"/>
      </w:rPr>
    </w:lvl>
    <w:lvl w:ilvl="3" w:tplc="BA108E08" w:tentative="1">
      <w:start w:val="1"/>
      <w:numFmt w:val="bullet"/>
      <w:lvlText w:val=""/>
      <w:lvlJc w:val="left"/>
      <w:pPr>
        <w:tabs>
          <w:tab w:val="num" w:pos="2880"/>
        </w:tabs>
        <w:ind w:left="2880" w:hanging="360"/>
      </w:pPr>
      <w:rPr>
        <w:rFonts w:ascii="Wingdings 3" w:hAnsi="Wingdings 3" w:hint="default"/>
      </w:rPr>
    </w:lvl>
    <w:lvl w:ilvl="4" w:tplc="707812CC" w:tentative="1">
      <w:start w:val="1"/>
      <w:numFmt w:val="bullet"/>
      <w:lvlText w:val=""/>
      <w:lvlJc w:val="left"/>
      <w:pPr>
        <w:tabs>
          <w:tab w:val="num" w:pos="3600"/>
        </w:tabs>
        <w:ind w:left="3600" w:hanging="360"/>
      </w:pPr>
      <w:rPr>
        <w:rFonts w:ascii="Wingdings 3" w:hAnsi="Wingdings 3" w:hint="default"/>
      </w:rPr>
    </w:lvl>
    <w:lvl w:ilvl="5" w:tplc="9F2CF10C" w:tentative="1">
      <w:start w:val="1"/>
      <w:numFmt w:val="bullet"/>
      <w:lvlText w:val=""/>
      <w:lvlJc w:val="left"/>
      <w:pPr>
        <w:tabs>
          <w:tab w:val="num" w:pos="4320"/>
        </w:tabs>
        <w:ind w:left="4320" w:hanging="360"/>
      </w:pPr>
      <w:rPr>
        <w:rFonts w:ascii="Wingdings 3" w:hAnsi="Wingdings 3" w:hint="default"/>
      </w:rPr>
    </w:lvl>
    <w:lvl w:ilvl="6" w:tplc="06508A7E" w:tentative="1">
      <w:start w:val="1"/>
      <w:numFmt w:val="bullet"/>
      <w:lvlText w:val=""/>
      <w:lvlJc w:val="left"/>
      <w:pPr>
        <w:tabs>
          <w:tab w:val="num" w:pos="5040"/>
        </w:tabs>
        <w:ind w:left="5040" w:hanging="360"/>
      </w:pPr>
      <w:rPr>
        <w:rFonts w:ascii="Wingdings 3" w:hAnsi="Wingdings 3" w:hint="default"/>
      </w:rPr>
    </w:lvl>
    <w:lvl w:ilvl="7" w:tplc="72CA4A8A" w:tentative="1">
      <w:start w:val="1"/>
      <w:numFmt w:val="bullet"/>
      <w:lvlText w:val=""/>
      <w:lvlJc w:val="left"/>
      <w:pPr>
        <w:tabs>
          <w:tab w:val="num" w:pos="5760"/>
        </w:tabs>
        <w:ind w:left="5760" w:hanging="360"/>
      </w:pPr>
      <w:rPr>
        <w:rFonts w:ascii="Wingdings 3" w:hAnsi="Wingdings 3" w:hint="default"/>
      </w:rPr>
    </w:lvl>
    <w:lvl w:ilvl="8" w:tplc="FA484A84" w:tentative="1">
      <w:start w:val="1"/>
      <w:numFmt w:val="bullet"/>
      <w:lvlText w:val=""/>
      <w:lvlJc w:val="left"/>
      <w:pPr>
        <w:tabs>
          <w:tab w:val="num" w:pos="6480"/>
        </w:tabs>
        <w:ind w:left="6480" w:hanging="360"/>
      </w:pPr>
      <w:rPr>
        <w:rFonts w:ascii="Wingdings 3" w:hAnsi="Wingdings 3" w:hint="default"/>
      </w:rPr>
    </w:lvl>
  </w:abstractNum>
  <w:abstractNum w:abstractNumId="3">
    <w:nsid w:val="30DC2344"/>
    <w:multiLevelType w:val="hybridMultilevel"/>
    <w:tmpl w:val="D9620EF0"/>
    <w:lvl w:ilvl="0" w:tplc="719AC0C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ED0605E"/>
    <w:multiLevelType w:val="hybridMultilevel"/>
    <w:tmpl w:val="5220F0B2"/>
    <w:lvl w:ilvl="0" w:tplc="25F694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5A5713AB"/>
    <w:multiLevelType w:val="hybridMultilevel"/>
    <w:tmpl w:val="5220F0B2"/>
    <w:lvl w:ilvl="0" w:tplc="25F694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6D65097E"/>
    <w:multiLevelType w:val="hybridMultilevel"/>
    <w:tmpl w:val="7E725FBC"/>
    <w:lvl w:ilvl="0" w:tplc="03E4C574">
      <w:start w:val="1"/>
      <w:numFmt w:val="decimal"/>
      <w:lvlText w:val="%1."/>
      <w:lvlJc w:val="left"/>
      <w:pPr>
        <w:tabs>
          <w:tab w:val="num" w:pos="744"/>
        </w:tabs>
        <w:ind w:left="744" w:hanging="360"/>
      </w:pPr>
      <w:rPr>
        <w:rFonts w:cs="Times New Roman" w:hint="default"/>
      </w:rPr>
    </w:lvl>
    <w:lvl w:ilvl="1" w:tplc="04050019" w:tentative="1">
      <w:start w:val="1"/>
      <w:numFmt w:val="lowerLetter"/>
      <w:lvlText w:val="%2."/>
      <w:lvlJc w:val="left"/>
      <w:pPr>
        <w:tabs>
          <w:tab w:val="num" w:pos="1464"/>
        </w:tabs>
        <w:ind w:left="1464" w:hanging="360"/>
      </w:pPr>
      <w:rPr>
        <w:rFonts w:cs="Times New Roman"/>
      </w:rPr>
    </w:lvl>
    <w:lvl w:ilvl="2" w:tplc="0405001B" w:tentative="1">
      <w:start w:val="1"/>
      <w:numFmt w:val="lowerRoman"/>
      <w:lvlText w:val="%3."/>
      <w:lvlJc w:val="right"/>
      <w:pPr>
        <w:tabs>
          <w:tab w:val="num" w:pos="2184"/>
        </w:tabs>
        <w:ind w:left="2184" w:hanging="180"/>
      </w:pPr>
      <w:rPr>
        <w:rFonts w:cs="Times New Roman"/>
      </w:rPr>
    </w:lvl>
    <w:lvl w:ilvl="3" w:tplc="0405000F" w:tentative="1">
      <w:start w:val="1"/>
      <w:numFmt w:val="decimal"/>
      <w:lvlText w:val="%4."/>
      <w:lvlJc w:val="left"/>
      <w:pPr>
        <w:tabs>
          <w:tab w:val="num" w:pos="2904"/>
        </w:tabs>
        <w:ind w:left="2904" w:hanging="360"/>
      </w:pPr>
      <w:rPr>
        <w:rFonts w:cs="Times New Roman"/>
      </w:rPr>
    </w:lvl>
    <w:lvl w:ilvl="4" w:tplc="04050019" w:tentative="1">
      <w:start w:val="1"/>
      <w:numFmt w:val="lowerLetter"/>
      <w:lvlText w:val="%5."/>
      <w:lvlJc w:val="left"/>
      <w:pPr>
        <w:tabs>
          <w:tab w:val="num" w:pos="3624"/>
        </w:tabs>
        <w:ind w:left="3624" w:hanging="360"/>
      </w:pPr>
      <w:rPr>
        <w:rFonts w:cs="Times New Roman"/>
      </w:rPr>
    </w:lvl>
    <w:lvl w:ilvl="5" w:tplc="0405001B" w:tentative="1">
      <w:start w:val="1"/>
      <w:numFmt w:val="lowerRoman"/>
      <w:lvlText w:val="%6."/>
      <w:lvlJc w:val="right"/>
      <w:pPr>
        <w:tabs>
          <w:tab w:val="num" w:pos="4344"/>
        </w:tabs>
        <w:ind w:left="4344" w:hanging="180"/>
      </w:pPr>
      <w:rPr>
        <w:rFonts w:cs="Times New Roman"/>
      </w:rPr>
    </w:lvl>
    <w:lvl w:ilvl="6" w:tplc="0405000F" w:tentative="1">
      <w:start w:val="1"/>
      <w:numFmt w:val="decimal"/>
      <w:lvlText w:val="%7."/>
      <w:lvlJc w:val="left"/>
      <w:pPr>
        <w:tabs>
          <w:tab w:val="num" w:pos="5064"/>
        </w:tabs>
        <w:ind w:left="5064" w:hanging="360"/>
      </w:pPr>
      <w:rPr>
        <w:rFonts w:cs="Times New Roman"/>
      </w:rPr>
    </w:lvl>
    <w:lvl w:ilvl="7" w:tplc="04050019" w:tentative="1">
      <w:start w:val="1"/>
      <w:numFmt w:val="lowerLetter"/>
      <w:lvlText w:val="%8."/>
      <w:lvlJc w:val="left"/>
      <w:pPr>
        <w:tabs>
          <w:tab w:val="num" w:pos="5784"/>
        </w:tabs>
        <w:ind w:left="5784" w:hanging="360"/>
      </w:pPr>
      <w:rPr>
        <w:rFonts w:cs="Times New Roman"/>
      </w:rPr>
    </w:lvl>
    <w:lvl w:ilvl="8" w:tplc="0405001B" w:tentative="1">
      <w:start w:val="1"/>
      <w:numFmt w:val="lowerRoman"/>
      <w:lvlText w:val="%9."/>
      <w:lvlJc w:val="right"/>
      <w:pPr>
        <w:tabs>
          <w:tab w:val="num" w:pos="6504"/>
        </w:tabs>
        <w:ind w:left="6504" w:hanging="180"/>
      </w:pPr>
      <w:rPr>
        <w:rFonts w:cs="Times New Roman"/>
      </w:rPr>
    </w:lvl>
  </w:abstractNum>
  <w:abstractNum w:abstractNumId="7">
    <w:nsid w:val="6DAF28F8"/>
    <w:multiLevelType w:val="hybridMultilevel"/>
    <w:tmpl w:val="B6A683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6D"/>
    <w:rsid w:val="00031F9D"/>
    <w:rsid w:val="00073430"/>
    <w:rsid w:val="00077726"/>
    <w:rsid w:val="00085DDD"/>
    <w:rsid w:val="000A5444"/>
    <w:rsid w:val="000B410E"/>
    <w:rsid w:val="000B7901"/>
    <w:rsid w:val="0010078C"/>
    <w:rsid w:val="001040BA"/>
    <w:rsid w:val="00161895"/>
    <w:rsid w:val="00173EBA"/>
    <w:rsid w:val="0017516C"/>
    <w:rsid w:val="00175FEC"/>
    <w:rsid w:val="0018453F"/>
    <w:rsid w:val="001D66EE"/>
    <w:rsid w:val="001E3815"/>
    <w:rsid w:val="001F2864"/>
    <w:rsid w:val="002015AB"/>
    <w:rsid w:val="00214102"/>
    <w:rsid w:val="00236288"/>
    <w:rsid w:val="002522BC"/>
    <w:rsid w:val="002553A1"/>
    <w:rsid w:val="00260A05"/>
    <w:rsid w:val="00262579"/>
    <w:rsid w:val="00312DEB"/>
    <w:rsid w:val="0033395F"/>
    <w:rsid w:val="00397E9E"/>
    <w:rsid w:val="003E32A1"/>
    <w:rsid w:val="0041574D"/>
    <w:rsid w:val="00420423"/>
    <w:rsid w:val="00421930"/>
    <w:rsid w:val="004405FD"/>
    <w:rsid w:val="00442ACE"/>
    <w:rsid w:val="004A2745"/>
    <w:rsid w:val="004C06C3"/>
    <w:rsid w:val="004E3143"/>
    <w:rsid w:val="00510797"/>
    <w:rsid w:val="00535E30"/>
    <w:rsid w:val="005704B6"/>
    <w:rsid w:val="00576C60"/>
    <w:rsid w:val="00596D1C"/>
    <w:rsid w:val="005B1BAE"/>
    <w:rsid w:val="006539E8"/>
    <w:rsid w:val="00661947"/>
    <w:rsid w:val="00694833"/>
    <w:rsid w:val="006A4F6D"/>
    <w:rsid w:val="00712DCA"/>
    <w:rsid w:val="0077536B"/>
    <w:rsid w:val="00793D30"/>
    <w:rsid w:val="007A27C0"/>
    <w:rsid w:val="007B22A3"/>
    <w:rsid w:val="007D38D0"/>
    <w:rsid w:val="007E3541"/>
    <w:rsid w:val="007E674D"/>
    <w:rsid w:val="007E7E8C"/>
    <w:rsid w:val="00834C64"/>
    <w:rsid w:val="00884CFF"/>
    <w:rsid w:val="008867C4"/>
    <w:rsid w:val="008A3D89"/>
    <w:rsid w:val="008C2C05"/>
    <w:rsid w:val="008E61F9"/>
    <w:rsid w:val="00912552"/>
    <w:rsid w:val="00933CC0"/>
    <w:rsid w:val="00941111"/>
    <w:rsid w:val="00942044"/>
    <w:rsid w:val="009A5C0C"/>
    <w:rsid w:val="009B648D"/>
    <w:rsid w:val="009F4AD7"/>
    <w:rsid w:val="00A05BB1"/>
    <w:rsid w:val="00A1712F"/>
    <w:rsid w:val="00A2636D"/>
    <w:rsid w:val="00A86222"/>
    <w:rsid w:val="00A8721A"/>
    <w:rsid w:val="00AA5A33"/>
    <w:rsid w:val="00AC2107"/>
    <w:rsid w:val="00B10497"/>
    <w:rsid w:val="00B32F99"/>
    <w:rsid w:val="00B42E73"/>
    <w:rsid w:val="00B50377"/>
    <w:rsid w:val="00B64D00"/>
    <w:rsid w:val="00B90BD2"/>
    <w:rsid w:val="00B93472"/>
    <w:rsid w:val="00B9481C"/>
    <w:rsid w:val="00B95523"/>
    <w:rsid w:val="00BB0883"/>
    <w:rsid w:val="00BC429A"/>
    <w:rsid w:val="00BE578D"/>
    <w:rsid w:val="00BF5822"/>
    <w:rsid w:val="00C06ED8"/>
    <w:rsid w:val="00C1373B"/>
    <w:rsid w:val="00C14106"/>
    <w:rsid w:val="00C5055A"/>
    <w:rsid w:val="00C81F00"/>
    <w:rsid w:val="00CA55C9"/>
    <w:rsid w:val="00CB15A4"/>
    <w:rsid w:val="00D55F04"/>
    <w:rsid w:val="00D634F5"/>
    <w:rsid w:val="00D877B9"/>
    <w:rsid w:val="00D924A2"/>
    <w:rsid w:val="00DA61D0"/>
    <w:rsid w:val="00E01B3E"/>
    <w:rsid w:val="00E25371"/>
    <w:rsid w:val="00E400E1"/>
    <w:rsid w:val="00E416CA"/>
    <w:rsid w:val="00E42220"/>
    <w:rsid w:val="00E6521D"/>
    <w:rsid w:val="00EB58F7"/>
    <w:rsid w:val="00ED17BC"/>
    <w:rsid w:val="00ED18F6"/>
    <w:rsid w:val="00EF6EFE"/>
    <w:rsid w:val="00F10C20"/>
    <w:rsid w:val="00F67DA0"/>
    <w:rsid w:val="00F76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636D"/>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A2636D"/>
    <w:pPr>
      <w:keepNext/>
      <w:ind w:firstLine="720"/>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2636D"/>
    <w:rPr>
      <w:rFonts w:ascii="Times New Roman" w:eastAsia="Times New Roman" w:hAnsi="Times New Roman" w:cs="Times New Roman"/>
      <w:b/>
      <w:sz w:val="32"/>
      <w:szCs w:val="20"/>
      <w:lang w:eastAsia="cs-CZ"/>
    </w:rPr>
  </w:style>
  <w:style w:type="paragraph" w:customStyle="1" w:styleId="vlevo">
    <w:name w:val="vlevo"/>
    <w:basedOn w:val="Normln"/>
    <w:link w:val="vlevoChar"/>
    <w:autoRedefine/>
    <w:rsid w:val="00A2636D"/>
    <w:pPr>
      <w:ind w:right="-58"/>
      <w:jc w:val="both"/>
    </w:pPr>
    <w:rPr>
      <w:sz w:val="24"/>
    </w:rPr>
  </w:style>
  <w:style w:type="paragraph" w:customStyle="1" w:styleId="Paragrafneeslovan">
    <w:name w:val="Paragraf neeíslovaný"/>
    <w:basedOn w:val="Normln"/>
    <w:rsid w:val="00A2636D"/>
    <w:pPr>
      <w:jc w:val="both"/>
    </w:pPr>
    <w:rPr>
      <w:sz w:val="24"/>
    </w:rPr>
  </w:style>
  <w:style w:type="paragraph" w:styleId="Zpat">
    <w:name w:val="footer"/>
    <w:basedOn w:val="Normln"/>
    <w:link w:val="ZpatChar"/>
    <w:uiPriority w:val="99"/>
    <w:rsid w:val="00A2636D"/>
    <w:pPr>
      <w:tabs>
        <w:tab w:val="center" w:pos="4536"/>
        <w:tab w:val="right" w:pos="9072"/>
      </w:tabs>
    </w:pPr>
  </w:style>
  <w:style w:type="character" w:customStyle="1" w:styleId="ZpatChar">
    <w:name w:val="Zápatí Char"/>
    <w:basedOn w:val="Standardnpsmoodstavce"/>
    <w:link w:val="Zpat"/>
    <w:uiPriority w:val="99"/>
    <w:rsid w:val="00A2636D"/>
    <w:rPr>
      <w:rFonts w:ascii="Times New Roman" w:eastAsia="Times New Roman" w:hAnsi="Times New Roman" w:cs="Times New Roman"/>
      <w:sz w:val="20"/>
      <w:szCs w:val="20"/>
      <w:lang w:eastAsia="cs-CZ"/>
    </w:rPr>
  </w:style>
  <w:style w:type="character" w:styleId="slostrnky">
    <w:name w:val="page number"/>
    <w:basedOn w:val="Standardnpsmoodstavce"/>
    <w:rsid w:val="00A2636D"/>
  </w:style>
  <w:style w:type="paragraph" w:styleId="Zkladntextodsazen">
    <w:name w:val="Body Text Indent"/>
    <w:basedOn w:val="Normln"/>
    <w:link w:val="ZkladntextodsazenChar"/>
    <w:rsid w:val="00A2636D"/>
    <w:pPr>
      <w:spacing w:after="120"/>
      <w:ind w:left="283"/>
    </w:pPr>
  </w:style>
  <w:style w:type="character" w:customStyle="1" w:styleId="ZkladntextodsazenChar">
    <w:name w:val="Základní text odsazený Char"/>
    <w:basedOn w:val="Standardnpsmoodstavce"/>
    <w:link w:val="Zkladntextodsazen"/>
    <w:rsid w:val="00A2636D"/>
    <w:rPr>
      <w:rFonts w:ascii="Times New Roman" w:eastAsia="Times New Roman" w:hAnsi="Times New Roman" w:cs="Times New Roman"/>
      <w:sz w:val="20"/>
      <w:szCs w:val="20"/>
      <w:lang w:eastAsia="cs-CZ"/>
    </w:rPr>
  </w:style>
  <w:style w:type="paragraph" w:customStyle="1" w:styleId="Formulartextnobox">
    <w:name w:val="Formular text no box"/>
    <w:basedOn w:val="Normln"/>
    <w:rsid w:val="00A2636D"/>
    <w:rPr>
      <w:rFonts w:ascii="Arial" w:eastAsia="Calibri" w:hAnsi="Arial" w:cs="Arial"/>
      <w:spacing w:val="-2"/>
      <w:szCs w:val="24"/>
    </w:rPr>
  </w:style>
  <w:style w:type="character" w:customStyle="1" w:styleId="vlevoChar">
    <w:name w:val="vlevo Char"/>
    <w:link w:val="vlevo"/>
    <w:rsid w:val="00A2636D"/>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CB15A4"/>
    <w:pPr>
      <w:ind w:left="720"/>
      <w:contextualSpacing/>
    </w:pPr>
  </w:style>
  <w:style w:type="paragraph" w:styleId="Textbubliny">
    <w:name w:val="Balloon Text"/>
    <w:basedOn w:val="Normln"/>
    <w:link w:val="TextbublinyChar"/>
    <w:uiPriority w:val="99"/>
    <w:semiHidden/>
    <w:unhideWhenUsed/>
    <w:rsid w:val="001E3815"/>
    <w:rPr>
      <w:rFonts w:ascii="Tahoma" w:hAnsi="Tahoma" w:cs="Tahoma"/>
      <w:sz w:val="16"/>
      <w:szCs w:val="16"/>
    </w:rPr>
  </w:style>
  <w:style w:type="character" w:customStyle="1" w:styleId="TextbublinyChar">
    <w:name w:val="Text bubliny Char"/>
    <w:basedOn w:val="Standardnpsmoodstavce"/>
    <w:link w:val="Textbubliny"/>
    <w:uiPriority w:val="99"/>
    <w:semiHidden/>
    <w:rsid w:val="001E3815"/>
    <w:rPr>
      <w:rFonts w:ascii="Tahoma" w:eastAsia="Times New Roman" w:hAnsi="Tahoma" w:cs="Tahoma"/>
      <w:sz w:val="16"/>
      <w:szCs w:val="16"/>
      <w:lang w:eastAsia="cs-CZ"/>
    </w:rPr>
  </w:style>
  <w:style w:type="paragraph" w:customStyle="1" w:styleId="vlevot">
    <w:name w:val="vlevot"/>
    <w:basedOn w:val="Normln"/>
    <w:rsid w:val="00EB58F7"/>
    <w:pPr>
      <w:jc w:val="both"/>
    </w:pPr>
    <w:rPr>
      <w:b/>
      <w:sz w:val="24"/>
    </w:rPr>
  </w:style>
  <w:style w:type="character" w:styleId="Odkaznakoment">
    <w:name w:val="annotation reference"/>
    <w:basedOn w:val="Standardnpsmoodstavce"/>
    <w:uiPriority w:val="99"/>
    <w:semiHidden/>
    <w:unhideWhenUsed/>
    <w:rsid w:val="00312DEB"/>
    <w:rPr>
      <w:sz w:val="16"/>
      <w:szCs w:val="16"/>
    </w:rPr>
  </w:style>
  <w:style w:type="paragraph" w:styleId="Textkomente">
    <w:name w:val="annotation text"/>
    <w:basedOn w:val="Normln"/>
    <w:link w:val="TextkomenteChar"/>
    <w:uiPriority w:val="99"/>
    <w:semiHidden/>
    <w:unhideWhenUsed/>
    <w:rsid w:val="00312DEB"/>
  </w:style>
  <w:style w:type="character" w:customStyle="1" w:styleId="TextkomenteChar">
    <w:name w:val="Text komentáře Char"/>
    <w:basedOn w:val="Standardnpsmoodstavce"/>
    <w:link w:val="Textkomente"/>
    <w:uiPriority w:val="99"/>
    <w:semiHidden/>
    <w:rsid w:val="00312D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2DEB"/>
    <w:rPr>
      <w:b/>
      <w:bCs/>
    </w:rPr>
  </w:style>
  <w:style w:type="character" w:customStyle="1" w:styleId="PedmtkomenteChar">
    <w:name w:val="Předmět komentáře Char"/>
    <w:basedOn w:val="TextkomenteChar"/>
    <w:link w:val="Pedmtkomente"/>
    <w:uiPriority w:val="99"/>
    <w:semiHidden/>
    <w:rsid w:val="00312DEB"/>
    <w:rPr>
      <w:rFonts w:ascii="Times New Roman" w:eastAsia="Times New Roman" w:hAnsi="Times New Roman" w:cs="Times New Roman"/>
      <w:b/>
      <w:bCs/>
      <w:sz w:val="20"/>
      <w:szCs w:val="20"/>
      <w:lang w:eastAsia="cs-CZ"/>
    </w:rPr>
  </w:style>
  <w:style w:type="paragraph" w:styleId="Zkladntext2">
    <w:name w:val="Body Text 2"/>
    <w:basedOn w:val="Normln"/>
    <w:link w:val="Zkladntext2Char"/>
    <w:uiPriority w:val="99"/>
    <w:semiHidden/>
    <w:unhideWhenUsed/>
    <w:rsid w:val="009A5C0C"/>
    <w:pPr>
      <w:spacing w:after="120" w:line="480" w:lineRule="auto"/>
    </w:pPr>
  </w:style>
  <w:style w:type="character" w:customStyle="1" w:styleId="Zkladntext2Char">
    <w:name w:val="Základní text 2 Char"/>
    <w:basedOn w:val="Standardnpsmoodstavce"/>
    <w:link w:val="Zkladntext2"/>
    <w:uiPriority w:val="99"/>
    <w:semiHidden/>
    <w:rsid w:val="009A5C0C"/>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636D"/>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A2636D"/>
    <w:pPr>
      <w:keepNext/>
      <w:ind w:firstLine="720"/>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2636D"/>
    <w:rPr>
      <w:rFonts w:ascii="Times New Roman" w:eastAsia="Times New Roman" w:hAnsi="Times New Roman" w:cs="Times New Roman"/>
      <w:b/>
      <w:sz w:val="32"/>
      <w:szCs w:val="20"/>
      <w:lang w:eastAsia="cs-CZ"/>
    </w:rPr>
  </w:style>
  <w:style w:type="paragraph" w:customStyle="1" w:styleId="vlevo">
    <w:name w:val="vlevo"/>
    <w:basedOn w:val="Normln"/>
    <w:link w:val="vlevoChar"/>
    <w:autoRedefine/>
    <w:rsid w:val="00A2636D"/>
    <w:pPr>
      <w:ind w:right="-58"/>
      <w:jc w:val="both"/>
    </w:pPr>
    <w:rPr>
      <w:sz w:val="24"/>
    </w:rPr>
  </w:style>
  <w:style w:type="paragraph" w:customStyle="1" w:styleId="Paragrafneeslovan">
    <w:name w:val="Paragraf neeíslovaný"/>
    <w:basedOn w:val="Normln"/>
    <w:rsid w:val="00A2636D"/>
    <w:pPr>
      <w:jc w:val="both"/>
    </w:pPr>
    <w:rPr>
      <w:sz w:val="24"/>
    </w:rPr>
  </w:style>
  <w:style w:type="paragraph" w:styleId="Zpat">
    <w:name w:val="footer"/>
    <w:basedOn w:val="Normln"/>
    <w:link w:val="ZpatChar"/>
    <w:uiPriority w:val="99"/>
    <w:rsid w:val="00A2636D"/>
    <w:pPr>
      <w:tabs>
        <w:tab w:val="center" w:pos="4536"/>
        <w:tab w:val="right" w:pos="9072"/>
      </w:tabs>
    </w:pPr>
  </w:style>
  <w:style w:type="character" w:customStyle="1" w:styleId="ZpatChar">
    <w:name w:val="Zápatí Char"/>
    <w:basedOn w:val="Standardnpsmoodstavce"/>
    <w:link w:val="Zpat"/>
    <w:uiPriority w:val="99"/>
    <w:rsid w:val="00A2636D"/>
    <w:rPr>
      <w:rFonts w:ascii="Times New Roman" w:eastAsia="Times New Roman" w:hAnsi="Times New Roman" w:cs="Times New Roman"/>
      <w:sz w:val="20"/>
      <w:szCs w:val="20"/>
      <w:lang w:eastAsia="cs-CZ"/>
    </w:rPr>
  </w:style>
  <w:style w:type="character" w:styleId="slostrnky">
    <w:name w:val="page number"/>
    <w:basedOn w:val="Standardnpsmoodstavce"/>
    <w:rsid w:val="00A2636D"/>
  </w:style>
  <w:style w:type="paragraph" w:styleId="Zkladntextodsazen">
    <w:name w:val="Body Text Indent"/>
    <w:basedOn w:val="Normln"/>
    <w:link w:val="ZkladntextodsazenChar"/>
    <w:rsid w:val="00A2636D"/>
    <w:pPr>
      <w:spacing w:after="120"/>
      <w:ind w:left="283"/>
    </w:pPr>
  </w:style>
  <w:style w:type="character" w:customStyle="1" w:styleId="ZkladntextodsazenChar">
    <w:name w:val="Základní text odsazený Char"/>
    <w:basedOn w:val="Standardnpsmoodstavce"/>
    <w:link w:val="Zkladntextodsazen"/>
    <w:rsid w:val="00A2636D"/>
    <w:rPr>
      <w:rFonts w:ascii="Times New Roman" w:eastAsia="Times New Roman" w:hAnsi="Times New Roman" w:cs="Times New Roman"/>
      <w:sz w:val="20"/>
      <w:szCs w:val="20"/>
      <w:lang w:eastAsia="cs-CZ"/>
    </w:rPr>
  </w:style>
  <w:style w:type="paragraph" w:customStyle="1" w:styleId="Formulartextnobox">
    <w:name w:val="Formular text no box"/>
    <w:basedOn w:val="Normln"/>
    <w:rsid w:val="00A2636D"/>
    <w:rPr>
      <w:rFonts w:ascii="Arial" w:eastAsia="Calibri" w:hAnsi="Arial" w:cs="Arial"/>
      <w:spacing w:val="-2"/>
      <w:szCs w:val="24"/>
    </w:rPr>
  </w:style>
  <w:style w:type="character" w:customStyle="1" w:styleId="vlevoChar">
    <w:name w:val="vlevo Char"/>
    <w:link w:val="vlevo"/>
    <w:rsid w:val="00A2636D"/>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CB15A4"/>
    <w:pPr>
      <w:ind w:left="720"/>
      <w:contextualSpacing/>
    </w:pPr>
  </w:style>
  <w:style w:type="paragraph" w:styleId="Textbubliny">
    <w:name w:val="Balloon Text"/>
    <w:basedOn w:val="Normln"/>
    <w:link w:val="TextbublinyChar"/>
    <w:uiPriority w:val="99"/>
    <w:semiHidden/>
    <w:unhideWhenUsed/>
    <w:rsid w:val="001E3815"/>
    <w:rPr>
      <w:rFonts w:ascii="Tahoma" w:hAnsi="Tahoma" w:cs="Tahoma"/>
      <w:sz w:val="16"/>
      <w:szCs w:val="16"/>
    </w:rPr>
  </w:style>
  <w:style w:type="character" w:customStyle="1" w:styleId="TextbublinyChar">
    <w:name w:val="Text bubliny Char"/>
    <w:basedOn w:val="Standardnpsmoodstavce"/>
    <w:link w:val="Textbubliny"/>
    <w:uiPriority w:val="99"/>
    <w:semiHidden/>
    <w:rsid w:val="001E3815"/>
    <w:rPr>
      <w:rFonts w:ascii="Tahoma" w:eastAsia="Times New Roman" w:hAnsi="Tahoma" w:cs="Tahoma"/>
      <w:sz w:val="16"/>
      <w:szCs w:val="16"/>
      <w:lang w:eastAsia="cs-CZ"/>
    </w:rPr>
  </w:style>
  <w:style w:type="paragraph" w:customStyle="1" w:styleId="vlevot">
    <w:name w:val="vlevot"/>
    <w:basedOn w:val="Normln"/>
    <w:rsid w:val="00EB58F7"/>
    <w:pPr>
      <w:jc w:val="both"/>
    </w:pPr>
    <w:rPr>
      <w:b/>
      <w:sz w:val="24"/>
    </w:rPr>
  </w:style>
  <w:style w:type="character" w:styleId="Odkaznakoment">
    <w:name w:val="annotation reference"/>
    <w:basedOn w:val="Standardnpsmoodstavce"/>
    <w:uiPriority w:val="99"/>
    <w:semiHidden/>
    <w:unhideWhenUsed/>
    <w:rsid w:val="00312DEB"/>
    <w:rPr>
      <w:sz w:val="16"/>
      <w:szCs w:val="16"/>
    </w:rPr>
  </w:style>
  <w:style w:type="paragraph" w:styleId="Textkomente">
    <w:name w:val="annotation text"/>
    <w:basedOn w:val="Normln"/>
    <w:link w:val="TextkomenteChar"/>
    <w:uiPriority w:val="99"/>
    <w:semiHidden/>
    <w:unhideWhenUsed/>
    <w:rsid w:val="00312DEB"/>
  </w:style>
  <w:style w:type="character" w:customStyle="1" w:styleId="TextkomenteChar">
    <w:name w:val="Text komentáře Char"/>
    <w:basedOn w:val="Standardnpsmoodstavce"/>
    <w:link w:val="Textkomente"/>
    <w:uiPriority w:val="99"/>
    <w:semiHidden/>
    <w:rsid w:val="00312D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2DEB"/>
    <w:rPr>
      <w:b/>
      <w:bCs/>
    </w:rPr>
  </w:style>
  <w:style w:type="character" w:customStyle="1" w:styleId="PedmtkomenteChar">
    <w:name w:val="Předmět komentáře Char"/>
    <w:basedOn w:val="TextkomenteChar"/>
    <w:link w:val="Pedmtkomente"/>
    <w:uiPriority w:val="99"/>
    <w:semiHidden/>
    <w:rsid w:val="00312DEB"/>
    <w:rPr>
      <w:rFonts w:ascii="Times New Roman" w:eastAsia="Times New Roman" w:hAnsi="Times New Roman" w:cs="Times New Roman"/>
      <w:b/>
      <w:bCs/>
      <w:sz w:val="20"/>
      <w:szCs w:val="20"/>
      <w:lang w:eastAsia="cs-CZ"/>
    </w:rPr>
  </w:style>
  <w:style w:type="paragraph" w:styleId="Zkladntext2">
    <w:name w:val="Body Text 2"/>
    <w:basedOn w:val="Normln"/>
    <w:link w:val="Zkladntext2Char"/>
    <w:uiPriority w:val="99"/>
    <w:semiHidden/>
    <w:unhideWhenUsed/>
    <w:rsid w:val="009A5C0C"/>
    <w:pPr>
      <w:spacing w:after="120" w:line="480" w:lineRule="auto"/>
    </w:pPr>
  </w:style>
  <w:style w:type="character" w:customStyle="1" w:styleId="Zkladntext2Char">
    <w:name w:val="Základní text 2 Char"/>
    <w:basedOn w:val="Standardnpsmoodstavce"/>
    <w:link w:val="Zkladntext2"/>
    <w:uiPriority w:val="99"/>
    <w:semiHidden/>
    <w:rsid w:val="009A5C0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935">
      <w:bodyDiv w:val="1"/>
      <w:marLeft w:val="0"/>
      <w:marRight w:val="0"/>
      <w:marTop w:val="0"/>
      <w:marBottom w:val="0"/>
      <w:divBdr>
        <w:top w:val="none" w:sz="0" w:space="0" w:color="auto"/>
        <w:left w:val="none" w:sz="0" w:space="0" w:color="auto"/>
        <w:bottom w:val="none" w:sz="0" w:space="0" w:color="auto"/>
        <w:right w:val="none" w:sz="0" w:space="0" w:color="auto"/>
      </w:divBdr>
    </w:div>
    <w:div w:id="1476801113">
      <w:bodyDiv w:val="1"/>
      <w:marLeft w:val="0"/>
      <w:marRight w:val="0"/>
      <w:marTop w:val="0"/>
      <w:marBottom w:val="0"/>
      <w:divBdr>
        <w:top w:val="none" w:sz="0" w:space="0" w:color="auto"/>
        <w:left w:val="none" w:sz="0" w:space="0" w:color="auto"/>
        <w:bottom w:val="none" w:sz="0" w:space="0" w:color="auto"/>
        <w:right w:val="none" w:sz="0" w:space="0" w:color="auto"/>
      </w:divBdr>
      <w:divsChild>
        <w:div w:id="631329720">
          <w:marLeft w:val="547"/>
          <w:marRight w:val="0"/>
          <w:marTop w:val="200"/>
          <w:marBottom w:val="0"/>
          <w:divBdr>
            <w:top w:val="none" w:sz="0" w:space="0" w:color="auto"/>
            <w:left w:val="none" w:sz="0" w:space="0" w:color="auto"/>
            <w:bottom w:val="none" w:sz="0" w:space="0" w:color="auto"/>
            <w:right w:val="none" w:sz="0" w:space="0" w:color="auto"/>
          </w:divBdr>
        </w:div>
      </w:divsChild>
    </w:div>
    <w:div w:id="1490831772">
      <w:bodyDiv w:val="1"/>
      <w:marLeft w:val="0"/>
      <w:marRight w:val="0"/>
      <w:marTop w:val="0"/>
      <w:marBottom w:val="0"/>
      <w:divBdr>
        <w:top w:val="none" w:sz="0" w:space="0" w:color="auto"/>
        <w:left w:val="none" w:sz="0" w:space="0" w:color="auto"/>
        <w:bottom w:val="none" w:sz="0" w:space="0" w:color="auto"/>
        <w:right w:val="none" w:sz="0" w:space="0" w:color="auto"/>
      </w:divBdr>
    </w:div>
    <w:div w:id="16207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A32F-30F1-4024-AAA6-80B6EFA2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Vodičková Olga</dc:creator>
  <cp:lastModifiedBy>Šlajsová Tereza</cp:lastModifiedBy>
  <cp:revision>3</cp:revision>
  <dcterms:created xsi:type="dcterms:W3CDTF">2015-04-29T07:37:00Z</dcterms:created>
  <dcterms:modified xsi:type="dcterms:W3CDTF">2015-05-04T12:10:00Z</dcterms:modified>
</cp:coreProperties>
</file>