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8"/>
        <w:gridCol w:w="2815"/>
        <w:gridCol w:w="2945"/>
      </w:tblGrid>
      <w:tr w:rsidR="0045037A" w:rsidTr="00A2532B">
        <w:tc>
          <w:tcPr>
            <w:tcW w:w="3898" w:type="dxa"/>
            <w:hideMark/>
          </w:tcPr>
          <w:p w:rsidR="0045037A" w:rsidRDefault="0045037A" w:rsidP="00A2532B">
            <w:pPr>
              <w:spacing w:line="276" w:lineRule="auto"/>
              <w:rPr>
                <w:b/>
                <w:lang w:eastAsia="en-US"/>
              </w:rPr>
            </w:pPr>
            <w:bookmarkStart w:id="0" w:name="Text1" w:colFirst="0" w:colLast="0"/>
            <w:bookmarkStart w:id="1" w:name="Text5" w:colFirst="0" w:colLast="0"/>
            <w:bookmarkStart w:id="2" w:name="Text2" w:colFirst="0" w:colLast="1"/>
            <w:r>
              <w:rPr>
                <w:b/>
                <w:lang w:eastAsia="en-US"/>
              </w:rPr>
              <w:t>Zastupitelstvo města Plzně dne:</w:t>
            </w:r>
          </w:p>
        </w:tc>
        <w:tc>
          <w:tcPr>
            <w:tcW w:w="2815" w:type="dxa"/>
            <w:hideMark/>
          </w:tcPr>
          <w:p w:rsidR="0045037A" w:rsidRDefault="0045037A" w:rsidP="00A2532B">
            <w:pPr>
              <w:pStyle w:val="Zpat"/>
              <w:tabs>
                <w:tab w:val="left" w:pos="708"/>
              </w:tabs>
              <w:spacing w:line="276" w:lineRule="auto"/>
              <w:ind w:firstLine="2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14. 5. 2015</w:t>
            </w:r>
          </w:p>
        </w:tc>
        <w:tc>
          <w:tcPr>
            <w:tcW w:w="2945" w:type="dxa"/>
            <w:hideMark/>
          </w:tcPr>
          <w:p w:rsidR="0045037A" w:rsidRDefault="0045037A" w:rsidP="0045037A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MAJ/21</w:t>
            </w:r>
          </w:p>
        </w:tc>
      </w:tr>
      <w:bookmarkEnd w:id="0"/>
      <w:bookmarkEnd w:id="1"/>
      <w:bookmarkEnd w:id="2"/>
    </w:tbl>
    <w:p w:rsidR="0045037A" w:rsidRDefault="0045037A" w:rsidP="0045037A">
      <w:pPr>
        <w:pStyle w:val="nadpcent"/>
      </w:pPr>
    </w:p>
    <w:p w:rsidR="0045037A" w:rsidRDefault="0045037A" w:rsidP="0045037A">
      <w:pPr>
        <w:pStyle w:val="nadpcent"/>
      </w:pPr>
      <w:r>
        <w:t>Návrh usnesení</w:t>
      </w:r>
    </w:p>
    <w:p w:rsidR="0045037A" w:rsidRDefault="0045037A" w:rsidP="0045037A">
      <w:pPr>
        <w:pStyle w:val="vlevo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70"/>
        <w:gridCol w:w="3691"/>
        <w:gridCol w:w="1092"/>
        <w:gridCol w:w="3260"/>
      </w:tblGrid>
      <w:tr w:rsidR="0045037A" w:rsidTr="00A2532B">
        <w:tc>
          <w:tcPr>
            <w:tcW w:w="570" w:type="dxa"/>
            <w:hideMark/>
          </w:tcPr>
          <w:p w:rsidR="0045037A" w:rsidRDefault="0045037A" w:rsidP="00A2532B">
            <w:pPr>
              <w:pStyle w:val="vlevo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Č.:</w:t>
            </w:r>
          </w:p>
        </w:tc>
        <w:tc>
          <w:tcPr>
            <w:tcW w:w="3691" w:type="dxa"/>
            <w:hideMark/>
          </w:tcPr>
          <w:p w:rsidR="0045037A" w:rsidRDefault="0045037A" w:rsidP="00A2532B">
            <w:pPr>
              <w:pStyle w:val="vlevo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……</w:t>
            </w:r>
          </w:p>
        </w:tc>
        <w:tc>
          <w:tcPr>
            <w:tcW w:w="1092" w:type="dxa"/>
            <w:hideMark/>
          </w:tcPr>
          <w:p w:rsidR="0045037A" w:rsidRDefault="0045037A" w:rsidP="00A2532B">
            <w:pPr>
              <w:pStyle w:val="vlevo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ze </w:t>
            </w:r>
            <w:proofErr w:type="gramStart"/>
            <w:r>
              <w:rPr>
                <w:lang w:eastAsia="en-US"/>
              </w:rPr>
              <w:t>dne :</w:t>
            </w:r>
            <w:proofErr w:type="gramEnd"/>
            <w:r>
              <w:rPr>
                <w:lang w:eastAsia="en-US"/>
              </w:rPr>
              <w:t xml:space="preserve"> </w:t>
            </w:r>
          </w:p>
        </w:tc>
        <w:tc>
          <w:tcPr>
            <w:tcW w:w="3260" w:type="dxa"/>
            <w:hideMark/>
          </w:tcPr>
          <w:p w:rsidR="0045037A" w:rsidRDefault="0045037A" w:rsidP="00A2532B">
            <w:pPr>
              <w:pStyle w:val="vlevo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14. 5. 2015</w:t>
            </w:r>
          </w:p>
        </w:tc>
      </w:tr>
    </w:tbl>
    <w:p w:rsidR="0045037A" w:rsidRDefault="0045037A" w:rsidP="0045037A">
      <w:pPr>
        <w:pStyle w:val="Paragrafneslovan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275"/>
        <w:gridCol w:w="7338"/>
      </w:tblGrid>
      <w:tr w:rsidR="0045037A" w:rsidTr="00A2532B">
        <w:trPr>
          <w:cantSplit/>
        </w:trPr>
        <w:tc>
          <w:tcPr>
            <w:tcW w:w="1275" w:type="dxa"/>
            <w:hideMark/>
          </w:tcPr>
          <w:p w:rsidR="0045037A" w:rsidRDefault="0045037A" w:rsidP="0045037A">
            <w:pPr>
              <w:pStyle w:val="vlevo"/>
              <w:rPr>
                <w:lang w:eastAsia="en-US"/>
              </w:rPr>
            </w:pPr>
            <w:r>
              <w:rPr>
                <w:lang w:eastAsia="en-US"/>
              </w:rPr>
              <w:t>Ve věci:</w:t>
            </w:r>
          </w:p>
        </w:tc>
        <w:tc>
          <w:tcPr>
            <w:tcW w:w="7338" w:type="dxa"/>
            <w:hideMark/>
          </w:tcPr>
          <w:p w:rsidR="0045037A" w:rsidRDefault="0045037A" w:rsidP="000B3F0F">
            <w:pPr>
              <w:pStyle w:val="vlevo"/>
              <w:rPr>
                <w:lang w:eastAsia="en-US"/>
              </w:rPr>
            </w:pPr>
            <w:r w:rsidRPr="00385354">
              <w:rPr>
                <w:szCs w:val="24"/>
              </w:rPr>
              <w:t>Projednat smluvní</w:t>
            </w:r>
            <w:r>
              <w:rPr>
                <w:szCs w:val="24"/>
              </w:rPr>
              <w:t xml:space="preserve"> vztah dle předloženého znění textu návrhu </w:t>
            </w:r>
            <w:r w:rsidRPr="00C16E1E">
              <w:rPr>
                <w:szCs w:val="24"/>
              </w:rPr>
              <w:t>Smlouvy o bezúplatném převodu vlastnického práva k nemovitým věc</w:t>
            </w:r>
            <w:r>
              <w:rPr>
                <w:szCs w:val="24"/>
              </w:rPr>
              <w:t>em a o zřízení věcného práva č. </w:t>
            </w:r>
            <w:r w:rsidRPr="00C16E1E">
              <w:rPr>
                <w:szCs w:val="24"/>
              </w:rPr>
              <w:t>UZSVM/P/25557/2014–HMSU</w:t>
            </w:r>
            <w:r>
              <w:rPr>
                <w:szCs w:val="24"/>
              </w:rPr>
              <w:t xml:space="preserve"> ve věci </w:t>
            </w:r>
            <w:proofErr w:type="gramStart"/>
            <w:r>
              <w:rPr>
                <w:szCs w:val="24"/>
              </w:rPr>
              <w:t xml:space="preserve">převodu </w:t>
            </w:r>
            <w:r w:rsidR="000B3F0F">
              <w:rPr>
                <w:szCs w:val="24"/>
              </w:rPr>
              <w:t xml:space="preserve"> </w:t>
            </w:r>
            <w:r>
              <w:rPr>
                <w:szCs w:val="24"/>
              </w:rPr>
              <w:t>objektu</w:t>
            </w:r>
            <w:proofErr w:type="gramEnd"/>
            <w:r>
              <w:rPr>
                <w:szCs w:val="24"/>
              </w:rPr>
              <w:t xml:space="preserve"> bývalého kulturního domu v Červeném Hrádku.</w:t>
            </w:r>
            <w:r>
              <w:t xml:space="preserve"> </w:t>
            </w:r>
          </w:p>
        </w:tc>
      </w:tr>
    </w:tbl>
    <w:p w:rsidR="0045037A" w:rsidRDefault="0045037A" w:rsidP="0045037A">
      <w:pPr>
        <w:pStyle w:val="vlev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F938306" wp14:editId="69164C74">
                <wp:simplePos x="0" y="0"/>
                <wp:positionH relativeFrom="column">
                  <wp:posOffset>-45720</wp:posOffset>
                </wp:positionH>
                <wp:positionV relativeFrom="paragraph">
                  <wp:posOffset>152400</wp:posOffset>
                </wp:positionV>
                <wp:extent cx="5303520" cy="0"/>
                <wp:effectExtent l="0" t="0" r="11430" b="1905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12pt" to="41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" o:allowincell="f"/>
            </w:pict>
          </mc:Fallback>
        </mc:AlternateContent>
      </w:r>
    </w:p>
    <w:p w:rsidR="0045037A" w:rsidRDefault="0045037A" w:rsidP="0045037A">
      <w:pPr>
        <w:pStyle w:val="vlevo"/>
      </w:pPr>
    </w:p>
    <w:p w:rsidR="0045037A" w:rsidRDefault="0045037A" w:rsidP="0045037A">
      <w:pPr>
        <w:pStyle w:val="vlevot"/>
      </w:pPr>
      <w:r>
        <w:t>Zastupitelstvo města Plzně</w:t>
      </w:r>
    </w:p>
    <w:p w:rsidR="0045037A" w:rsidRDefault="0045037A" w:rsidP="0045037A">
      <w:pPr>
        <w:pStyle w:val="vlevo"/>
      </w:pPr>
      <w:r>
        <w:t>k návrhu Rady města Plzně</w:t>
      </w:r>
    </w:p>
    <w:p w:rsidR="0045037A" w:rsidRDefault="0045037A" w:rsidP="0045037A">
      <w:pPr>
        <w:pStyle w:val="parzahl"/>
      </w:pPr>
      <w:proofErr w:type="gramStart"/>
      <w:r>
        <w:t>B e r e   n a   v ě d o m í</w:t>
      </w:r>
      <w:proofErr w:type="gramEnd"/>
    </w:p>
    <w:p w:rsidR="0045037A" w:rsidRPr="0045037A" w:rsidRDefault="0045037A" w:rsidP="0045037A">
      <w:pPr>
        <w:ind w:left="284" w:hanging="284"/>
      </w:pPr>
      <w:r>
        <w:t xml:space="preserve">1. </w:t>
      </w:r>
      <w:r w:rsidRPr="0045037A">
        <w:t xml:space="preserve">Usnesení Zastupitelstva města Plzně č. 548 ze dne 4. 9. 2014, kterým by schválen záměr získat část stavby </w:t>
      </w:r>
      <w:proofErr w:type="gramStart"/>
      <w:r w:rsidRPr="0045037A">
        <w:t>č.p.</w:t>
      </w:r>
      <w:proofErr w:type="gramEnd"/>
      <w:r w:rsidRPr="0045037A">
        <w:t xml:space="preserve"> 186 (bývalý kulturní dům) z vlastnictví státu a dále související pozemky s tímto objektem z vlastnictví Zemědělského </w:t>
      </w:r>
      <w:r w:rsidR="000B3F0F">
        <w:t>družstva Plzeň Červený Hrádek a </w:t>
      </w:r>
      <w:r w:rsidRPr="0045037A">
        <w:t xml:space="preserve">fyzické osoby. </w:t>
      </w:r>
    </w:p>
    <w:p w:rsidR="0045037A" w:rsidRDefault="0045037A" w:rsidP="0045037A">
      <w:pPr>
        <w:ind w:left="284" w:hanging="284"/>
      </w:pPr>
      <w:r>
        <w:t>2</w:t>
      </w:r>
      <w:r w:rsidRPr="0045037A">
        <w:t xml:space="preserve">. Skutečnost, že Úřad pro zastupování státu ve věcech majetkových zajistil na své náklady stavební rozdělení objektu bývalého kulturního domu Červený Hrádek na dva samostatné objekty. Předmětem převodu na město Plzeň je budova </w:t>
      </w:r>
      <w:proofErr w:type="gramStart"/>
      <w:r w:rsidRPr="0045037A">
        <w:t>č.p.</w:t>
      </w:r>
      <w:proofErr w:type="gramEnd"/>
      <w:r w:rsidRPr="0045037A">
        <w:t xml:space="preserve"> 438. Dr</w:t>
      </w:r>
      <w:r w:rsidR="000B3F0F">
        <w:t>u</w:t>
      </w:r>
      <w:r w:rsidRPr="0045037A">
        <w:t xml:space="preserve">há část objektu bude prodána státem do majetku Zemědělského družstva Plzeň Červený Hrádek. </w:t>
      </w:r>
    </w:p>
    <w:p w:rsidR="0045037A" w:rsidRDefault="0045037A" w:rsidP="000B3F0F">
      <w:pPr>
        <w:pStyle w:val="Normlnodsazen"/>
        <w:ind w:left="284" w:hanging="284"/>
      </w:pPr>
      <w:r>
        <w:t xml:space="preserve">3. </w:t>
      </w:r>
      <w:r w:rsidRPr="0045037A">
        <w:t xml:space="preserve">Fakt, že státem byl předložen návrh Smlouvy o bezúplatném převodu vlastnického práva k nemovitým věcem a o zřízení věcného práva č. UZSVM/P/25557/2014 – HMSU, kde předmětem bezúplatného převodu je </w:t>
      </w:r>
      <w:proofErr w:type="spellStart"/>
      <w:proofErr w:type="gramStart"/>
      <w:r w:rsidRPr="0045037A">
        <w:rPr>
          <w:bCs/>
          <w:color w:val="000000"/>
        </w:rPr>
        <w:t>parc</w:t>
      </w:r>
      <w:proofErr w:type="gramEnd"/>
      <w:r w:rsidRPr="0045037A">
        <w:rPr>
          <w:bCs/>
          <w:color w:val="000000"/>
        </w:rPr>
        <w:t>.</w:t>
      </w:r>
      <w:proofErr w:type="gramStart"/>
      <w:r w:rsidRPr="0045037A">
        <w:rPr>
          <w:bCs/>
          <w:color w:val="000000"/>
        </w:rPr>
        <w:t>č</w:t>
      </w:r>
      <w:proofErr w:type="spellEnd"/>
      <w:r w:rsidRPr="0045037A">
        <w:rPr>
          <w:bCs/>
          <w:color w:val="000000"/>
        </w:rPr>
        <w:t>.</w:t>
      </w:r>
      <w:proofErr w:type="gramEnd"/>
      <w:r w:rsidRPr="0045037A">
        <w:rPr>
          <w:bCs/>
          <w:color w:val="000000"/>
        </w:rPr>
        <w:t xml:space="preserve"> 98/2</w:t>
      </w:r>
      <w:r w:rsidRPr="0045037A">
        <w:rPr>
          <w:color w:val="000000"/>
        </w:rPr>
        <w:t xml:space="preserve"> a b</w:t>
      </w:r>
      <w:r w:rsidRPr="0045037A">
        <w:t xml:space="preserve">udova </w:t>
      </w:r>
      <w:r w:rsidRPr="0045037A">
        <w:rPr>
          <w:bCs/>
        </w:rPr>
        <w:t xml:space="preserve">na </w:t>
      </w:r>
      <w:proofErr w:type="spellStart"/>
      <w:r w:rsidRPr="0045037A">
        <w:t>parc.č</w:t>
      </w:r>
      <w:proofErr w:type="spellEnd"/>
      <w:r w:rsidRPr="0045037A">
        <w:t>. 166/8,</w:t>
      </w:r>
      <w:r w:rsidRPr="0045037A">
        <w:rPr>
          <w:color w:val="000000"/>
        </w:rPr>
        <w:t xml:space="preserve"> k. </w:t>
      </w:r>
      <w:proofErr w:type="spellStart"/>
      <w:r w:rsidRPr="0045037A">
        <w:rPr>
          <w:color w:val="000000"/>
        </w:rPr>
        <w:t>ú.</w:t>
      </w:r>
      <w:proofErr w:type="spellEnd"/>
      <w:r w:rsidRPr="0045037A">
        <w:rPr>
          <w:color w:val="000000"/>
        </w:rPr>
        <w:t xml:space="preserve"> Červený Hrádek u Plzně,</w:t>
      </w:r>
      <w:r w:rsidRPr="0045037A">
        <w:rPr>
          <w:bCs/>
        </w:rPr>
        <w:t xml:space="preserve"> č. budovy: 438, způsob využití </w:t>
      </w:r>
      <w:proofErr w:type="spellStart"/>
      <w:r w:rsidRPr="0045037A">
        <w:rPr>
          <w:bCs/>
        </w:rPr>
        <w:t>obč</w:t>
      </w:r>
      <w:proofErr w:type="spellEnd"/>
      <w:r w:rsidRPr="0045037A">
        <w:rPr>
          <w:bCs/>
        </w:rPr>
        <w:t xml:space="preserve">. </w:t>
      </w:r>
      <w:proofErr w:type="gramStart"/>
      <w:r w:rsidRPr="0045037A">
        <w:rPr>
          <w:bCs/>
        </w:rPr>
        <w:t>vybavenost</w:t>
      </w:r>
      <w:proofErr w:type="gramEnd"/>
      <w:r w:rsidRPr="0045037A">
        <w:rPr>
          <w:bCs/>
        </w:rPr>
        <w:t>,</w:t>
      </w:r>
      <w:r w:rsidRPr="0045037A">
        <w:rPr>
          <w:color w:val="000000"/>
        </w:rPr>
        <w:t xml:space="preserve"> </w:t>
      </w:r>
      <w:r w:rsidRPr="0045037A">
        <w:t>zapsaná na listu vlastnictví č. 60000, pro kat. území Červený Hrádek u Plzně. Tento návrh smlouvy byl připomínkován Městským obvodem Plzeň 4 a Právním odborem MMP</w:t>
      </w:r>
      <w:r>
        <w:t>.</w:t>
      </w:r>
    </w:p>
    <w:p w:rsidR="000B3F0F" w:rsidRPr="0045037A" w:rsidRDefault="000B3F0F" w:rsidP="000B3F0F">
      <w:pPr>
        <w:pStyle w:val="Normlnodsazen"/>
        <w:ind w:left="284" w:hanging="284"/>
      </w:pPr>
    </w:p>
    <w:p w:rsidR="0045037A" w:rsidRDefault="0045037A" w:rsidP="0045037A">
      <w:pPr>
        <w:pStyle w:val="parzahl"/>
      </w:pPr>
      <w:r>
        <w:t>S c h v a l u j e</w:t>
      </w:r>
    </w:p>
    <w:p w:rsidR="0045037A" w:rsidRPr="0045037A" w:rsidRDefault="0045037A" w:rsidP="0045037A">
      <w:pPr>
        <w:ind w:left="284" w:hanging="284"/>
      </w:pPr>
      <w:r>
        <w:t>1. U</w:t>
      </w:r>
      <w:r w:rsidRPr="0045037A">
        <w:t>zavření smlouvy o bezúplatném převodu vlastnického práva k nemovitým věcem a o zřízení věcného práva č. UZSVM/P/25557/2014-HMSU mezi městem Plzní a Úřadem pro zastupování státu ve věcech majetkových, IČO 69797111, Územní pracoviště Plzeň, Radobyčická 14, dle znění textu návrhu předmětné smlouvy.</w:t>
      </w:r>
    </w:p>
    <w:p w:rsidR="0045037A" w:rsidRPr="0045037A" w:rsidRDefault="0045037A" w:rsidP="0045037A"/>
    <w:p w:rsidR="0045037A" w:rsidRPr="0045037A" w:rsidRDefault="0045037A" w:rsidP="0045037A">
      <w:pPr>
        <w:tabs>
          <w:tab w:val="left" w:pos="284"/>
        </w:tabs>
      </w:pPr>
      <w:r w:rsidRPr="0045037A">
        <w:tab/>
        <w:t>Bezúplatný převod nemovitých věcí je realizován v evidenčních hodnotách.</w:t>
      </w:r>
    </w:p>
    <w:p w:rsidR="0045037A" w:rsidRPr="0045037A" w:rsidRDefault="0045037A" w:rsidP="0045037A">
      <w:pPr>
        <w:tabs>
          <w:tab w:val="left" w:pos="284"/>
        </w:tabs>
      </w:pPr>
      <w:r w:rsidRPr="0045037A">
        <w:tab/>
        <w:t>Daňová otázka bude řešena dle zákona č. 586/1992 Sb., v platném znění (daň se nehradí).</w:t>
      </w:r>
    </w:p>
    <w:p w:rsidR="0045037A" w:rsidRPr="0045037A" w:rsidRDefault="0045037A" w:rsidP="0045037A"/>
    <w:p w:rsidR="0045037A" w:rsidRDefault="0045037A" w:rsidP="0045037A">
      <w:pPr>
        <w:tabs>
          <w:tab w:val="left" w:pos="284"/>
        </w:tabs>
      </w:pPr>
      <w:r w:rsidRPr="0045037A">
        <w:t>2. Svěření</w:t>
      </w:r>
      <w:r>
        <w:t xml:space="preserve"> </w:t>
      </w:r>
      <w:r w:rsidRPr="0045037A">
        <w:t xml:space="preserve">získaných nemovitých věcí do trvalé správy MO Plzeň 4 Přílohou </w:t>
      </w:r>
      <w:proofErr w:type="gramStart"/>
      <w:r w:rsidRPr="0045037A">
        <w:t>č. 3 Statutu</w:t>
      </w:r>
      <w:proofErr w:type="gramEnd"/>
      <w:r w:rsidRPr="0045037A">
        <w:t xml:space="preserve"> </w:t>
      </w:r>
      <w:r>
        <w:tab/>
      </w:r>
      <w:r w:rsidRPr="0045037A">
        <w:t xml:space="preserve">města Plzně s tím, že městský obvod bude zodpovědný za plnění povinností nabyvatele dle </w:t>
      </w:r>
      <w:r w:rsidR="000B3F0F">
        <w:tab/>
      </w:r>
      <w:r w:rsidRPr="0045037A">
        <w:t xml:space="preserve">předmětné smlouvy o bezúplatném převodu vlastnického práva k nemovitým věcem a o </w:t>
      </w:r>
      <w:r w:rsidR="000B3F0F">
        <w:tab/>
      </w:r>
      <w:r w:rsidRPr="0045037A">
        <w:t xml:space="preserve">zřízení věcného práva č. UZSVM/P/25557/2014-HMSU. </w:t>
      </w:r>
    </w:p>
    <w:p w:rsidR="000B3F0F" w:rsidRDefault="000B3F0F" w:rsidP="000B3F0F">
      <w:pPr>
        <w:pStyle w:val="Normlnodsazen"/>
      </w:pPr>
    </w:p>
    <w:p w:rsidR="000B3F0F" w:rsidRDefault="000B3F0F" w:rsidP="000B3F0F">
      <w:pPr>
        <w:pStyle w:val="Normlnodsazen"/>
      </w:pPr>
    </w:p>
    <w:p w:rsidR="000B3F0F" w:rsidRPr="000B3F0F" w:rsidRDefault="000B3F0F" w:rsidP="000B3F0F">
      <w:pPr>
        <w:pStyle w:val="Normlnodsazen"/>
      </w:pPr>
    </w:p>
    <w:p w:rsidR="0045037A" w:rsidRDefault="0045037A" w:rsidP="0045037A">
      <w:pPr>
        <w:pStyle w:val="Normlnodsazen"/>
        <w:ind w:left="0"/>
        <w:rPr>
          <w:szCs w:val="24"/>
        </w:rPr>
      </w:pPr>
    </w:p>
    <w:p w:rsidR="0045037A" w:rsidRDefault="0045037A" w:rsidP="0045037A">
      <w:pPr>
        <w:pStyle w:val="parzahl"/>
      </w:pPr>
      <w:r>
        <w:t>U k l á d á</w:t>
      </w:r>
    </w:p>
    <w:p w:rsidR="0045037A" w:rsidRDefault="0045037A" w:rsidP="0045037A">
      <w:pPr>
        <w:rPr>
          <w:b/>
        </w:rPr>
      </w:pPr>
      <w:r>
        <w:t>Radě města Plzně</w:t>
      </w:r>
    </w:p>
    <w:p w:rsidR="0045037A" w:rsidRDefault="0045037A" w:rsidP="0045037A">
      <w:pPr>
        <w:rPr>
          <w:b/>
        </w:rPr>
      </w:pPr>
      <w:r>
        <w:t>1. Zajistit uzavření smlouvy dle bodu II. 1. tohoto usnesení.</w:t>
      </w:r>
    </w:p>
    <w:p w:rsidR="0045037A" w:rsidRDefault="0045037A" w:rsidP="0045037A">
      <w:r>
        <w:t xml:space="preserve">Termín: 30. 10. 2015 </w:t>
      </w:r>
    </w:p>
    <w:p w:rsidR="0045037A" w:rsidRDefault="0045037A" w:rsidP="0045037A">
      <w:pPr>
        <w:pStyle w:val="Normlnodsazen"/>
        <w:ind w:left="0"/>
      </w:pPr>
    </w:p>
    <w:p w:rsidR="0045037A" w:rsidRDefault="0045037A" w:rsidP="0045037A">
      <w:pPr>
        <w:pStyle w:val="Normlnodsazen"/>
        <w:ind w:left="0"/>
      </w:pPr>
      <w:r>
        <w:t>2. Zajistit svěření nabytého majetku dle bodu II. 2. tohoto usnesení.</w:t>
      </w:r>
    </w:p>
    <w:p w:rsidR="0045037A" w:rsidRPr="008226C3" w:rsidRDefault="0045037A" w:rsidP="0045037A">
      <w:pPr>
        <w:pStyle w:val="Normlnodsazen"/>
        <w:ind w:left="0"/>
      </w:pPr>
      <w:r>
        <w:t xml:space="preserve">Termín: 28. 2. 2016  </w:t>
      </w:r>
    </w:p>
    <w:p w:rsidR="0045037A" w:rsidRPr="008226C3" w:rsidRDefault="0045037A" w:rsidP="0045037A">
      <w:pPr>
        <w:pStyle w:val="Normlnodsazen"/>
      </w:pPr>
    </w:p>
    <w:p w:rsidR="0045037A" w:rsidRDefault="0045037A" w:rsidP="0045037A">
      <w:pPr>
        <w:pBdr>
          <w:top w:val="single" w:sz="4" w:space="1" w:color="auto"/>
        </w:pBdr>
      </w:pPr>
    </w:p>
    <w:p w:rsidR="0045037A" w:rsidRDefault="0045037A" w:rsidP="0045037A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  <w:t>Zodpovídá III. 1.: H. Matoušová, členka RMP</w:t>
      </w:r>
    </w:p>
    <w:p w:rsidR="0045037A" w:rsidRDefault="0045037A" w:rsidP="0045037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Ing. Hasmanová</w:t>
      </w:r>
    </w:p>
    <w:p w:rsidR="0045037A" w:rsidRDefault="0045037A" w:rsidP="0045037A">
      <w:pPr>
        <w:pStyle w:val="Normlnodsazen"/>
      </w:pPr>
    </w:p>
    <w:p w:rsidR="0045037A" w:rsidRDefault="0045037A" w:rsidP="0045037A">
      <w:pPr>
        <w:pStyle w:val="Normlnodsazen"/>
      </w:pPr>
      <w:r>
        <w:tab/>
      </w:r>
      <w:r>
        <w:tab/>
      </w:r>
      <w:r>
        <w:tab/>
      </w:r>
      <w:r>
        <w:tab/>
        <w:t xml:space="preserve">    </w:t>
      </w:r>
      <w:r>
        <w:tab/>
        <w:t xml:space="preserve">        III. 2.: JUDr. Tomášek</w:t>
      </w:r>
    </w:p>
    <w:p w:rsidR="0045037A" w:rsidRDefault="0045037A" w:rsidP="0045037A">
      <w:pPr>
        <w:pStyle w:val="Normlnodsazen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Mgr. Radová, MBA</w:t>
      </w:r>
    </w:p>
    <w:p w:rsidR="0045037A" w:rsidRPr="008226C3" w:rsidRDefault="0045037A" w:rsidP="0045037A">
      <w:pPr>
        <w:pStyle w:val="Normlnodsazen"/>
      </w:pPr>
      <w:r>
        <w:tab/>
      </w:r>
    </w:p>
    <w:tbl>
      <w:tblPr>
        <w:tblW w:w="949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2"/>
        <w:gridCol w:w="3477"/>
        <w:gridCol w:w="1701"/>
        <w:gridCol w:w="1415"/>
      </w:tblGrid>
      <w:tr w:rsidR="0045037A" w:rsidTr="00A2532B"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037A" w:rsidRDefault="0045037A" w:rsidP="000B3F0F">
            <w:pPr>
              <w:pStyle w:val="Paragrafneslovan"/>
              <w:rPr>
                <w:lang w:eastAsia="en-US"/>
              </w:rPr>
            </w:pPr>
            <w:r>
              <w:rPr>
                <w:lang w:eastAsia="en-US"/>
              </w:rPr>
              <w:t>Zprávu předkládá:</w:t>
            </w: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037A" w:rsidRDefault="0045037A" w:rsidP="000B3F0F">
            <w:pPr>
              <w:pStyle w:val="Paragrafneslovan"/>
              <w:rPr>
                <w:lang w:eastAsia="en-US"/>
              </w:rPr>
            </w:pPr>
            <w:r>
              <w:rPr>
                <w:lang w:eastAsia="en-US"/>
              </w:rPr>
              <w:t>H. Matoušová, členka RMP</w:t>
            </w:r>
          </w:p>
        </w:tc>
        <w:tc>
          <w:tcPr>
            <w:tcW w:w="31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037A" w:rsidRDefault="0045037A" w:rsidP="000B3F0F">
            <w:pPr>
              <w:pStyle w:val="Paragrafneslovan"/>
              <w:rPr>
                <w:lang w:eastAsia="en-US"/>
              </w:rPr>
            </w:pPr>
          </w:p>
        </w:tc>
      </w:tr>
      <w:tr w:rsidR="0045037A" w:rsidTr="00A2532B"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037A" w:rsidRDefault="0045037A" w:rsidP="000B3F0F">
            <w:pPr>
              <w:pStyle w:val="Paragrafneslovan"/>
              <w:rPr>
                <w:lang w:eastAsia="en-US"/>
              </w:rPr>
            </w:pPr>
            <w:r>
              <w:rPr>
                <w:lang w:eastAsia="en-US"/>
              </w:rPr>
              <w:t>Zprávu zpracoval dne:</w:t>
            </w: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037A" w:rsidRDefault="0045037A" w:rsidP="000B3F0F">
            <w:pPr>
              <w:pStyle w:val="Paragrafneslovan"/>
              <w:rPr>
                <w:lang w:eastAsia="en-US"/>
              </w:rPr>
            </w:pPr>
            <w:r>
              <w:rPr>
                <w:lang w:eastAsia="en-US"/>
              </w:rPr>
              <w:t>4. 5. 2015</w:t>
            </w:r>
          </w:p>
        </w:tc>
        <w:tc>
          <w:tcPr>
            <w:tcW w:w="311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5037A" w:rsidRDefault="0045037A" w:rsidP="000B3F0F">
            <w:pPr>
              <w:pStyle w:val="Paragrafneslovan"/>
              <w:rPr>
                <w:lang w:eastAsia="en-US"/>
              </w:rPr>
            </w:pPr>
            <w:r>
              <w:rPr>
                <w:lang w:eastAsia="en-US"/>
              </w:rPr>
              <w:t>Kašparová, MAJ MMP</w:t>
            </w:r>
          </w:p>
        </w:tc>
      </w:tr>
      <w:tr w:rsidR="0045037A" w:rsidTr="00A2532B"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037A" w:rsidRDefault="0045037A" w:rsidP="000B3F0F">
            <w:pPr>
              <w:pStyle w:val="Paragrafneslovan"/>
              <w:rPr>
                <w:lang w:eastAsia="en-US"/>
              </w:rPr>
            </w:pPr>
            <w:r>
              <w:rPr>
                <w:lang w:eastAsia="en-US"/>
              </w:rPr>
              <w:t>Schůze ZMP se zúčastní:</w:t>
            </w: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037A" w:rsidRDefault="0045037A" w:rsidP="000B3F0F">
            <w:pPr>
              <w:pStyle w:val="Paragrafneslovan"/>
              <w:rPr>
                <w:lang w:eastAsia="en-US"/>
              </w:rPr>
            </w:pPr>
            <w:r>
              <w:rPr>
                <w:lang w:eastAsia="en-US"/>
              </w:rPr>
              <w:t>Ing. Hasmanová, VO MAJ MMP</w:t>
            </w:r>
          </w:p>
        </w:tc>
        <w:tc>
          <w:tcPr>
            <w:tcW w:w="31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037A" w:rsidRDefault="0045037A" w:rsidP="000B3F0F">
            <w:pPr>
              <w:pStyle w:val="Paragrafneslovan"/>
              <w:rPr>
                <w:lang w:eastAsia="en-US"/>
              </w:rPr>
            </w:pPr>
          </w:p>
        </w:tc>
      </w:tr>
      <w:tr w:rsidR="0045037A" w:rsidTr="0045037A"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037A" w:rsidRDefault="0045037A" w:rsidP="000B3F0F">
            <w:pPr>
              <w:pStyle w:val="Paragrafneslovan"/>
              <w:rPr>
                <w:lang w:eastAsia="en-US"/>
              </w:rPr>
            </w:pPr>
            <w:r>
              <w:rPr>
                <w:lang w:eastAsia="en-US"/>
              </w:rPr>
              <w:t>Obsah zprávy projednán s:</w:t>
            </w: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037A" w:rsidRDefault="0045037A" w:rsidP="000B3F0F">
            <w:pPr>
              <w:pStyle w:val="Paragrafneslovan"/>
              <w:rPr>
                <w:lang w:eastAsia="en-US"/>
              </w:rPr>
            </w:pPr>
            <w:r>
              <w:rPr>
                <w:lang w:eastAsia="en-US"/>
              </w:rPr>
              <w:t>Ing. Kuglerovou, MBA, ŘEÚ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037A" w:rsidRDefault="0045037A" w:rsidP="000B3F0F">
            <w:pPr>
              <w:pStyle w:val="Paragrafneslovan"/>
              <w:rPr>
                <w:lang w:eastAsia="en-US"/>
              </w:rPr>
            </w:pPr>
            <w:r>
              <w:rPr>
                <w:lang w:eastAsia="en-US"/>
              </w:rPr>
              <w:t xml:space="preserve">souhlasí             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45037A" w:rsidRDefault="0045037A" w:rsidP="000B3F0F">
            <w:pPr>
              <w:pStyle w:val="Paragrafneslovan"/>
              <w:rPr>
                <w:lang w:eastAsia="en-US"/>
              </w:rPr>
            </w:pPr>
          </w:p>
        </w:tc>
      </w:tr>
      <w:tr w:rsidR="0045037A" w:rsidTr="0045037A"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</w:tcPr>
          <w:p w:rsidR="0045037A" w:rsidRDefault="0045037A" w:rsidP="000B3F0F">
            <w:pPr>
              <w:pStyle w:val="Paragrafneslovan"/>
              <w:rPr>
                <w:lang w:eastAsia="en-US"/>
              </w:rPr>
            </w:pP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</w:tcPr>
          <w:p w:rsidR="0045037A" w:rsidRDefault="0045037A" w:rsidP="000B3F0F">
            <w:pPr>
              <w:pStyle w:val="Paragrafneslovan"/>
            </w:pPr>
            <w:r>
              <w:t>JUDr. Dominikem Tomáškem</w:t>
            </w:r>
          </w:p>
          <w:p w:rsidR="0045037A" w:rsidRDefault="0045037A" w:rsidP="000B3F0F">
            <w:pPr>
              <w:pStyle w:val="Paragrafneslovan"/>
              <w:rPr>
                <w:lang w:eastAsia="en-US"/>
              </w:rPr>
            </w:pPr>
            <w:r>
              <w:t>VO PRÁV MMP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5037A" w:rsidRDefault="0045037A" w:rsidP="000B3F0F">
            <w:pPr>
              <w:pStyle w:val="Paragrafneslovan"/>
              <w:rPr>
                <w:lang w:eastAsia="en-US"/>
              </w:rPr>
            </w:pPr>
          </w:p>
          <w:p w:rsidR="0045037A" w:rsidRDefault="0045037A" w:rsidP="000B3F0F">
            <w:pPr>
              <w:pStyle w:val="Paragrafneslovan"/>
              <w:rPr>
                <w:lang w:eastAsia="en-US"/>
              </w:rPr>
            </w:pPr>
            <w:r>
              <w:rPr>
                <w:lang w:eastAsia="en-US"/>
              </w:rPr>
              <w:t>souhlasí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45037A" w:rsidRDefault="0045037A" w:rsidP="000B3F0F">
            <w:pPr>
              <w:pStyle w:val="Paragrafneslovan"/>
              <w:rPr>
                <w:lang w:eastAsia="en-US"/>
              </w:rPr>
            </w:pPr>
          </w:p>
          <w:p w:rsidR="0045037A" w:rsidRDefault="0045037A" w:rsidP="000B3F0F">
            <w:pPr>
              <w:pStyle w:val="Paragrafneslovan"/>
              <w:rPr>
                <w:lang w:eastAsia="en-US"/>
              </w:rPr>
            </w:pPr>
          </w:p>
        </w:tc>
      </w:tr>
      <w:tr w:rsidR="000B3F0F" w:rsidTr="0045037A"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</w:tcPr>
          <w:p w:rsidR="000B3F0F" w:rsidRDefault="000B3F0F" w:rsidP="000B3F0F">
            <w:pPr>
              <w:pStyle w:val="Paragrafneslovan"/>
              <w:rPr>
                <w:lang w:eastAsia="en-US"/>
              </w:rPr>
            </w:pP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</w:tcPr>
          <w:p w:rsidR="000B3F0F" w:rsidRDefault="000B3F0F" w:rsidP="000B3F0F">
            <w:pPr>
              <w:pStyle w:val="Paragrafneslovan"/>
            </w:pPr>
            <w:r>
              <w:t>Mgr. Radovou, MBA, VO EVID MMP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3F0F" w:rsidRDefault="000B3F0F" w:rsidP="000B3F0F">
            <w:pPr>
              <w:pStyle w:val="Paragrafneslovan"/>
              <w:rPr>
                <w:lang w:eastAsia="en-US"/>
              </w:rPr>
            </w:pPr>
          </w:p>
          <w:p w:rsidR="00F274B5" w:rsidRDefault="00F274B5" w:rsidP="000B3F0F">
            <w:pPr>
              <w:pStyle w:val="Paragrafneslovan"/>
              <w:rPr>
                <w:lang w:eastAsia="en-US"/>
              </w:rPr>
            </w:pPr>
            <w:r>
              <w:rPr>
                <w:lang w:eastAsia="en-US"/>
              </w:rPr>
              <w:t xml:space="preserve">souhlasí 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0B3F0F" w:rsidRDefault="000B3F0F" w:rsidP="000B3F0F">
            <w:pPr>
              <w:pStyle w:val="Paragrafneslovan"/>
              <w:rPr>
                <w:lang w:eastAsia="en-US"/>
              </w:rPr>
            </w:pPr>
          </w:p>
          <w:p w:rsidR="00F274B5" w:rsidRDefault="00F274B5" w:rsidP="000B3F0F">
            <w:pPr>
              <w:pStyle w:val="Paragrafneslovan"/>
              <w:rPr>
                <w:lang w:eastAsia="en-US"/>
              </w:rPr>
            </w:pPr>
            <w:bookmarkStart w:id="3" w:name="_GoBack"/>
            <w:bookmarkEnd w:id="3"/>
          </w:p>
        </w:tc>
      </w:tr>
      <w:tr w:rsidR="0045037A" w:rsidTr="0045037A"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037A" w:rsidRDefault="0045037A" w:rsidP="000B3F0F">
            <w:pPr>
              <w:pStyle w:val="Paragrafneslovan"/>
              <w:rPr>
                <w:lang w:eastAsia="en-US"/>
              </w:rPr>
            </w:pPr>
            <w:r>
              <w:rPr>
                <w:lang w:eastAsia="en-US"/>
              </w:rPr>
              <w:t>Zveřejněno na úřední desce:</w:t>
            </w: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037A" w:rsidRDefault="0045037A" w:rsidP="000B3F0F">
            <w:pPr>
              <w:pStyle w:val="Paragrafneslovan"/>
              <w:rPr>
                <w:lang w:eastAsia="en-US"/>
              </w:rPr>
            </w:pPr>
            <w:r>
              <w:rPr>
                <w:lang w:eastAsia="en-US"/>
              </w:rPr>
              <w:t>nepodléhá zveřejnění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5037A" w:rsidRDefault="0045037A" w:rsidP="000B3F0F">
            <w:pPr>
              <w:pStyle w:val="Paragrafneslovan"/>
              <w:rPr>
                <w:lang w:eastAsia="en-US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45037A" w:rsidRDefault="0045037A" w:rsidP="000B3F0F">
            <w:pPr>
              <w:pStyle w:val="Paragrafneslovan"/>
              <w:rPr>
                <w:lang w:eastAsia="en-US"/>
              </w:rPr>
            </w:pPr>
          </w:p>
        </w:tc>
      </w:tr>
      <w:tr w:rsidR="0045037A" w:rsidTr="0045037A"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037A" w:rsidRDefault="0045037A" w:rsidP="000B3F0F">
            <w:pPr>
              <w:pStyle w:val="Paragrafneslovan"/>
              <w:rPr>
                <w:lang w:eastAsia="en-US"/>
              </w:rPr>
            </w:pPr>
            <w:r>
              <w:rPr>
                <w:lang w:eastAsia="en-US"/>
              </w:rPr>
              <w:t>Projednáno v RMP:</w:t>
            </w: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037A" w:rsidRDefault="0045037A" w:rsidP="000B3F0F">
            <w:pPr>
              <w:pStyle w:val="Paragrafneslovan"/>
              <w:rPr>
                <w:lang w:eastAsia="en-US"/>
              </w:rPr>
            </w:pPr>
            <w:r>
              <w:rPr>
                <w:lang w:eastAsia="en-US"/>
              </w:rPr>
              <w:t>dne 14. 5. 2015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037A" w:rsidRDefault="0045037A" w:rsidP="000B3F0F">
            <w:pPr>
              <w:pStyle w:val="Paragrafneslovan"/>
              <w:rPr>
                <w:lang w:eastAsia="en-US"/>
              </w:rPr>
            </w:pPr>
            <w:r>
              <w:rPr>
                <w:lang w:eastAsia="en-US"/>
              </w:rPr>
              <w:t xml:space="preserve">č. usnesení:    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037A" w:rsidRDefault="0045037A" w:rsidP="000B3F0F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45037A" w:rsidRDefault="0045037A" w:rsidP="000B3F0F"/>
    <w:p w:rsidR="0045037A" w:rsidRDefault="0045037A" w:rsidP="0045037A"/>
    <w:p w:rsidR="00763863" w:rsidRDefault="007C5A68"/>
    <w:sectPr w:rsidR="007638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utiger CE 45">
    <w:panose1 w:val="00000000000000000000"/>
    <w:charset w:val="EE"/>
    <w:family w:val="decorative"/>
    <w:notTrueType/>
    <w:pitch w:val="variable"/>
    <w:sig w:usb0="00000007" w:usb1="00000000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4275A"/>
    <w:multiLevelType w:val="hybridMultilevel"/>
    <w:tmpl w:val="B5A033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48721D"/>
    <w:multiLevelType w:val="hybridMultilevel"/>
    <w:tmpl w:val="06DC86A6"/>
    <w:lvl w:ilvl="0" w:tplc="D0A04A0C">
      <w:start w:val="330"/>
      <w:numFmt w:val="bullet"/>
      <w:lvlText w:val="-"/>
      <w:lvlJc w:val="left"/>
      <w:pPr>
        <w:ind w:left="360" w:hanging="360"/>
      </w:pPr>
      <w:rPr>
        <w:rFonts w:ascii="Frutiger CE 45" w:eastAsia="Times New Roman" w:hAnsi="Frutiger CE 45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A9E3F9E"/>
    <w:multiLevelType w:val="singleLevel"/>
    <w:tmpl w:val="3EC699D4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37A"/>
    <w:rsid w:val="000B3F0F"/>
    <w:rsid w:val="0045037A"/>
    <w:rsid w:val="004901A9"/>
    <w:rsid w:val="006F2166"/>
    <w:rsid w:val="007C5A68"/>
    <w:rsid w:val="00DD5A18"/>
    <w:rsid w:val="00F2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next w:val="Normlnodsazen"/>
    <w:qFormat/>
    <w:rsid w:val="0045037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unhideWhenUsed/>
    <w:rsid w:val="0045037A"/>
    <w:pPr>
      <w:ind w:left="708"/>
    </w:pPr>
  </w:style>
  <w:style w:type="paragraph" w:styleId="Zpat">
    <w:name w:val="footer"/>
    <w:basedOn w:val="Normln"/>
    <w:link w:val="ZpatChar"/>
    <w:unhideWhenUsed/>
    <w:rsid w:val="0045037A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rsid w:val="0045037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ParagrafneslovanChar">
    <w:name w:val="Paragraf nečíslovaný Char"/>
    <w:link w:val="Paragrafneslovan"/>
    <w:locked/>
    <w:rsid w:val="0045037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Paragrafneslovan">
    <w:name w:val="Paragraf nečíslovaný"/>
    <w:basedOn w:val="Normln"/>
    <w:link w:val="ParagrafneslovanChar"/>
    <w:autoRedefine/>
    <w:rsid w:val="0045037A"/>
    <w:pPr>
      <w:tabs>
        <w:tab w:val="left" w:pos="284"/>
      </w:tabs>
    </w:pPr>
  </w:style>
  <w:style w:type="paragraph" w:customStyle="1" w:styleId="parzahl">
    <w:name w:val="parzahl"/>
    <w:basedOn w:val="Normln"/>
    <w:next w:val="Paragrafneslovan"/>
    <w:rsid w:val="0045037A"/>
    <w:pPr>
      <w:numPr>
        <w:numId w:val="1"/>
      </w:numPr>
      <w:spacing w:before="120" w:after="120"/>
    </w:pPr>
    <w:rPr>
      <w:b/>
    </w:rPr>
  </w:style>
  <w:style w:type="paragraph" w:customStyle="1" w:styleId="vlevo">
    <w:name w:val="vlevo"/>
    <w:basedOn w:val="Normln"/>
    <w:autoRedefine/>
    <w:rsid w:val="0045037A"/>
  </w:style>
  <w:style w:type="paragraph" w:customStyle="1" w:styleId="nadpcent">
    <w:name w:val="nadpcent"/>
    <w:basedOn w:val="Normln"/>
    <w:next w:val="vlevo"/>
    <w:autoRedefine/>
    <w:rsid w:val="0045037A"/>
    <w:pPr>
      <w:spacing w:before="120" w:after="240"/>
      <w:jc w:val="center"/>
    </w:pPr>
    <w:rPr>
      <w:b/>
      <w:caps/>
      <w:spacing w:val="22"/>
      <w:lang w:val="en-AU"/>
    </w:rPr>
  </w:style>
  <w:style w:type="paragraph" w:customStyle="1" w:styleId="vlevot">
    <w:name w:val="vlevot"/>
    <w:basedOn w:val="vlevo"/>
    <w:autoRedefine/>
    <w:rsid w:val="0045037A"/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216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166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next w:val="Normlnodsazen"/>
    <w:qFormat/>
    <w:rsid w:val="0045037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unhideWhenUsed/>
    <w:rsid w:val="0045037A"/>
    <w:pPr>
      <w:ind w:left="708"/>
    </w:pPr>
  </w:style>
  <w:style w:type="paragraph" w:styleId="Zpat">
    <w:name w:val="footer"/>
    <w:basedOn w:val="Normln"/>
    <w:link w:val="ZpatChar"/>
    <w:unhideWhenUsed/>
    <w:rsid w:val="0045037A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rsid w:val="0045037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ParagrafneslovanChar">
    <w:name w:val="Paragraf nečíslovaný Char"/>
    <w:link w:val="Paragrafneslovan"/>
    <w:locked/>
    <w:rsid w:val="0045037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Paragrafneslovan">
    <w:name w:val="Paragraf nečíslovaný"/>
    <w:basedOn w:val="Normln"/>
    <w:link w:val="ParagrafneslovanChar"/>
    <w:autoRedefine/>
    <w:rsid w:val="0045037A"/>
    <w:pPr>
      <w:tabs>
        <w:tab w:val="left" w:pos="284"/>
      </w:tabs>
    </w:pPr>
  </w:style>
  <w:style w:type="paragraph" w:customStyle="1" w:styleId="parzahl">
    <w:name w:val="parzahl"/>
    <w:basedOn w:val="Normln"/>
    <w:next w:val="Paragrafneslovan"/>
    <w:rsid w:val="0045037A"/>
    <w:pPr>
      <w:numPr>
        <w:numId w:val="1"/>
      </w:numPr>
      <w:spacing w:before="120" w:after="120"/>
    </w:pPr>
    <w:rPr>
      <w:b/>
    </w:rPr>
  </w:style>
  <w:style w:type="paragraph" w:customStyle="1" w:styleId="vlevo">
    <w:name w:val="vlevo"/>
    <w:basedOn w:val="Normln"/>
    <w:autoRedefine/>
    <w:rsid w:val="0045037A"/>
  </w:style>
  <w:style w:type="paragraph" w:customStyle="1" w:styleId="nadpcent">
    <w:name w:val="nadpcent"/>
    <w:basedOn w:val="Normln"/>
    <w:next w:val="vlevo"/>
    <w:autoRedefine/>
    <w:rsid w:val="0045037A"/>
    <w:pPr>
      <w:spacing w:before="120" w:after="240"/>
      <w:jc w:val="center"/>
    </w:pPr>
    <w:rPr>
      <w:b/>
      <w:caps/>
      <w:spacing w:val="22"/>
      <w:lang w:val="en-AU"/>
    </w:rPr>
  </w:style>
  <w:style w:type="paragraph" w:customStyle="1" w:styleId="vlevot">
    <w:name w:val="vlevot"/>
    <w:basedOn w:val="vlevo"/>
    <w:autoRedefine/>
    <w:rsid w:val="0045037A"/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216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166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E0CDD-F673-4D9E-970E-71D3A7CB1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453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Kašparová Jitka</dc:creator>
  <cp:lastModifiedBy>Kašparová Jitka</cp:lastModifiedBy>
  <cp:revision>4</cp:revision>
  <cp:lastPrinted>2015-05-04T13:40:00Z</cp:lastPrinted>
  <dcterms:created xsi:type="dcterms:W3CDTF">2015-05-04T12:01:00Z</dcterms:created>
  <dcterms:modified xsi:type="dcterms:W3CDTF">2015-05-05T07:04:00Z</dcterms:modified>
</cp:coreProperties>
</file>