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898"/>
        <w:gridCol w:w="2815"/>
        <w:gridCol w:w="1862"/>
      </w:tblGrid>
      <w:tr w:rsidR="00B627E5" w:rsidTr="00F25CE9">
        <w:tc>
          <w:tcPr>
            <w:tcW w:w="3898" w:type="dxa"/>
            <w:hideMark/>
          </w:tcPr>
          <w:p w:rsidR="00B627E5" w:rsidRDefault="00B627E5" w:rsidP="00F25CE9">
            <w:pPr>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815" w:type="dxa"/>
            <w:hideMark/>
          </w:tcPr>
          <w:p w:rsidR="00B627E5" w:rsidRDefault="00B627E5" w:rsidP="00F25CE9">
            <w:pPr>
              <w:pStyle w:val="Zpat"/>
              <w:tabs>
                <w:tab w:val="left" w:pos="708"/>
              </w:tabs>
              <w:ind w:firstLine="20"/>
              <w:rPr>
                <w:b/>
                <w:sz w:val="24"/>
                <w:lang w:eastAsia="en-US"/>
              </w:rPr>
            </w:pPr>
            <w:r>
              <w:rPr>
                <w:b/>
                <w:sz w:val="24"/>
                <w:lang w:eastAsia="en-US"/>
              </w:rPr>
              <w:t>18. 6. 2015</w:t>
            </w:r>
          </w:p>
        </w:tc>
        <w:tc>
          <w:tcPr>
            <w:tcW w:w="1862" w:type="dxa"/>
            <w:hideMark/>
          </w:tcPr>
          <w:p w:rsidR="00B627E5" w:rsidRDefault="00B627E5" w:rsidP="00B627E5">
            <w:pPr>
              <w:ind w:firstLine="0"/>
              <w:jc w:val="right"/>
              <w:rPr>
                <w:b/>
                <w:sz w:val="24"/>
                <w:lang w:eastAsia="en-US"/>
              </w:rPr>
            </w:pPr>
            <w:r>
              <w:rPr>
                <w:b/>
                <w:sz w:val="24"/>
                <w:lang w:eastAsia="en-US"/>
              </w:rPr>
              <w:t>MAJ/17</w:t>
            </w:r>
          </w:p>
        </w:tc>
      </w:tr>
      <w:bookmarkEnd w:id="0"/>
      <w:bookmarkEnd w:id="1"/>
      <w:bookmarkEnd w:id="2"/>
    </w:tbl>
    <w:p w:rsidR="00B627E5" w:rsidRDefault="00B627E5" w:rsidP="00B627E5">
      <w:pPr>
        <w:pStyle w:val="vlevo"/>
      </w:pPr>
    </w:p>
    <w:p w:rsidR="00B627E5" w:rsidRDefault="00B627E5" w:rsidP="00B627E5">
      <w:pPr>
        <w:pStyle w:val="vlevo"/>
      </w:pPr>
    </w:p>
    <w:p w:rsidR="00B627E5" w:rsidRDefault="00B627E5" w:rsidP="00B627E5">
      <w:pPr>
        <w:pStyle w:val="nadpcent"/>
      </w:pPr>
      <w:r>
        <w:rPr>
          <w:lang w:val="cs-CZ"/>
        </w:rPr>
        <w:t>Návrh usnesení</w:t>
      </w:r>
    </w:p>
    <w:tbl>
      <w:tblPr>
        <w:tblW w:w="0" w:type="auto"/>
        <w:tblLayout w:type="fixed"/>
        <w:tblLook w:val="04A0" w:firstRow="1" w:lastRow="0" w:firstColumn="1" w:lastColumn="0" w:noHBand="0" w:noVBand="1"/>
      </w:tblPr>
      <w:tblGrid>
        <w:gridCol w:w="570"/>
        <w:gridCol w:w="3691"/>
        <w:gridCol w:w="1092"/>
        <w:gridCol w:w="3260"/>
      </w:tblGrid>
      <w:tr w:rsidR="00B627E5" w:rsidTr="00F25CE9">
        <w:tc>
          <w:tcPr>
            <w:tcW w:w="570" w:type="dxa"/>
            <w:hideMark/>
          </w:tcPr>
          <w:p w:rsidR="00B627E5" w:rsidRDefault="00B627E5" w:rsidP="00F25CE9">
            <w:pPr>
              <w:pStyle w:val="vlevo"/>
              <w:rPr>
                <w:lang w:eastAsia="en-US"/>
              </w:rPr>
            </w:pPr>
            <w:r>
              <w:rPr>
                <w:lang w:eastAsia="en-US"/>
              </w:rPr>
              <w:t>Č.:</w:t>
            </w:r>
          </w:p>
        </w:tc>
        <w:tc>
          <w:tcPr>
            <w:tcW w:w="3691" w:type="dxa"/>
            <w:hideMark/>
          </w:tcPr>
          <w:p w:rsidR="00B627E5" w:rsidRDefault="00B627E5" w:rsidP="00F25CE9">
            <w:pPr>
              <w:pStyle w:val="vlevo"/>
              <w:rPr>
                <w:lang w:eastAsia="en-US"/>
              </w:rPr>
            </w:pPr>
            <w:r>
              <w:rPr>
                <w:lang w:eastAsia="en-US"/>
              </w:rPr>
              <w:t>……</w:t>
            </w:r>
          </w:p>
        </w:tc>
        <w:tc>
          <w:tcPr>
            <w:tcW w:w="1092" w:type="dxa"/>
            <w:hideMark/>
          </w:tcPr>
          <w:p w:rsidR="00B627E5" w:rsidRDefault="00B627E5" w:rsidP="00F25CE9">
            <w:pPr>
              <w:pStyle w:val="vlevo"/>
              <w:rPr>
                <w:lang w:eastAsia="en-US"/>
              </w:rPr>
            </w:pPr>
            <w:r>
              <w:rPr>
                <w:lang w:eastAsia="en-US"/>
              </w:rPr>
              <w:t xml:space="preserve">ze dne : </w:t>
            </w:r>
          </w:p>
        </w:tc>
        <w:tc>
          <w:tcPr>
            <w:tcW w:w="3260" w:type="dxa"/>
            <w:hideMark/>
          </w:tcPr>
          <w:p w:rsidR="00B627E5" w:rsidRDefault="00B627E5" w:rsidP="00F25CE9">
            <w:pPr>
              <w:pStyle w:val="vlevo"/>
              <w:rPr>
                <w:lang w:eastAsia="en-US"/>
              </w:rPr>
            </w:pPr>
            <w:r>
              <w:rPr>
                <w:lang w:eastAsia="en-US"/>
              </w:rPr>
              <w:t>18. 6. 2015</w:t>
            </w:r>
          </w:p>
        </w:tc>
      </w:tr>
    </w:tbl>
    <w:p w:rsidR="00B627E5" w:rsidRDefault="00B627E5" w:rsidP="00B627E5">
      <w:pPr>
        <w:pStyle w:val="Paragrafneslovan"/>
      </w:pPr>
    </w:p>
    <w:tbl>
      <w:tblPr>
        <w:tblW w:w="0" w:type="auto"/>
        <w:tblLayout w:type="fixed"/>
        <w:tblLook w:val="04A0" w:firstRow="1" w:lastRow="0" w:firstColumn="1" w:lastColumn="0" w:noHBand="0" w:noVBand="1"/>
      </w:tblPr>
      <w:tblGrid>
        <w:gridCol w:w="1275"/>
        <w:gridCol w:w="7338"/>
      </w:tblGrid>
      <w:tr w:rsidR="00B627E5" w:rsidTr="00F25CE9">
        <w:trPr>
          <w:cantSplit/>
        </w:trPr>
        <w:tc>
          <w:tcPr>
            <w:tcW w:w="1275" w:type="dxa"/>
            <w:hideMark/>
          </w:tcPr>
          <w:p w:rsidR="00B627E5" w:rsidRDefault="00B627E5" w:rsidP="00F25CE9">
            <w:pPr>
              <w:pStyle w:val="vlevo"/>
              <w:rPr>
                <w:lang w:eastAsia="en-US"/>
              </w:rPr>
            </w:pPr>
            <w:r>
              <w:rPr>
                <w:lang w:eastAsia="en-US"/>
              </w:rPr>
              <w:t>Ve věci:</w:t>
            </w:r>
          </w:p>
        </w:tc>
        <w:tc>
          <w:tcPr>
            <w:tcW w:w="7338" w:type="dxa"/>
            <w:hideMark/>
          </w:tcPr>
          <w:p w:rsidR="00B627E5" w:rsidRDefault="00B627E5" w:rsidP="00F25CE9">
            <w:pPr>
              <w:pStyle w:val="vlevo"/>
              <w:rPr>
                <w:lang w:eastAsia="en-US"/>
              </w:rPr>
            </w:pPr>
            <w:r>
              <w:t>Výkup pozemku vč. garáže na něm stojící v k.ú. Plzeň pro stavbu komunikace I/20 Jasmínová - Sušická“ od dvou fyzických osob.</w:t>
            </w:r>
          </w:p>
        </w:tc>
      </w:tr>
    </w:tbl>
    <w:p w:rsidR="00B627E5" w:rsidRDefault="00B627E5" w:rsidP="00B627E5">
      <w:pPr>
        <w:pStyle w:val="vlevo"/>
      </w:pPr>
      <w:r>
        <w:rPr>
          <w:noProof/>
        </w:rPr>
        <mc:AlternateContent>
          <mc:Choice Requires="wps">
            <w:drawing>
              <wp:anchor distT="0" distB="0" distL="114300" distR="114300" simplePos="0" relativeHeight="251659264" behindDoc="0" locked="0" layoutInCell="0" allowOverlap="1" wp14:anchorId="4975FBFC" wp14:editId="4E50CDE2">
                <wp:simplePos x="0" y="0"/>
                <wp:positionH relativeFrom="column">
                  <wp:posOffset>-45720</wp:posOffset>
                </wp:positionH>
                <wp:positionV relativeFrom="paragraph">
                  <wp:posOffset>152400</wp:posOffset>
                </wp:positionV>
                <wp:extent cx="53035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B627E5" w:rsidRDefault="00B627E5" w:rsidP="00B627E5">
      <w:pPr>
        <w:pStyle w:val="vlevo"/>
      </w:pPr>
    </w:p>
    <w:p w:rsidR="00B627E5" w:rsidRDefault="00B627E5" w:rsidP="00B627E5">
      <w:pPr>
        <w:pStyle w:val="vlevot"/>
      </w:pPr>
      <w:r>
        <w:t>Zastupitelstvo města Plzně</w:t>
      </w:r>
    </w:p>
    <w:p w:rsidR="00B627E5" w:rsidRDefault="00B627E5" w:rsidP="00B627E5">
      <w:pPr>
        <w:pStyle w:val="vlevo"/>
      </w:pPr>
      <w:r>
        <w:t>k návrhu Rady města Plzně</w:t>
      </w:r>
    </w:p>
    <w:p w:rsidR="00B627E5" w:rsidRDefault="00B627E5" w:rsidP="00B627E5">
      <w:pPr>
        <w:pStyle w:val="vlevo"/>
      </w:pPr>
    </w:p>
    <w:p w:rsidR="00B627E5" w:rsidRDefault="00B627E5" w:rsidP="00B627E5">
      <w:pPr>
        <w:pStyle w:val="parzahl"/>
      </w:pPr>
      <w:r>
        <w:t>B e r e   n a   v ě d o m í</w:t>
      </w:r>
    </w:p>
    <w:p w:rsidR="00B627E5" w:rsidRPr="00B627E5" w:rsidRDefault="00B627E5" w:rsidP="00B627E5">
      <w:pPr>
        <w:ind w:firstLine="0"/>
        <w:jc w:val="both"/>
        <w:rPr>
          <w:sz w:val="24"/>
          <w:szCs w:val="24"/>
        </w:rPr>
      </w:pPr>
      <w:r w:rsidRPr="00B627E5">
        <w:rPr>
          <w:sz w:val="24"/>
          <w:szCs w:val="24"/>
        </w:rPr>
        <w:t>žádost vlastníků o výkup nemovitých věcí do majetku města Plzně před vydáním územního rozhodnutí pro veřejně prospěšnou stavbu „VPS D3 – Průtah silnice I/20“ – úsek Jasmínová - Sušická“.</w:t>
      </w:r>
    </w:p>
    <w:p w:rsidR="00B627E5" w:rsidRDefault="00B627E5" w:rsidP="00B627E5">
      <w:pPr>
        <w:pStyle w:val="Odstavecseseznamem"/>
        <w:ind w:left="360" w:firstLine="0"/>
      </w:pPr>
    </w:p>
    <w:p w:rsidR="00B627E5" w:rsidRPr="00B627E5" w:rsidRDefault="00B627E5" w:rsidP="00B627E5">
      <w:pPr>
        <w:pStyle w:val="parzahl"/>
      </w:pPr>
      <w:r>
        <w:t>S c h v a l u j e</w:t>
      </w:r>
    </w:p>
    <w:p w:rsidR="00B627E5" w:rsidRDefault="00B627E5" w:rsidP="00B627E5">
      <w:pPr>
        <w:pStyle w:val="vlevo"/>
      </w:pPr>
      <w:r>
        <w:t>uzavření kupní smlouvy mezi městem Plzní a manželi panem Ladislavem Šusem, r.č. 250911/130, a paní Zdeňkou Šusovou, r.č. 316108/022, oba bytem Jugoslávská 26, Plzeň, PSČ 326 00 jako prodávajícími na odkoupení pozemku parc.č. 3639/3 o výměře 22 m</w:t>
      </w:r>
      <w:r>
        <w:rPr>
          <w:vertAlign w:val="superscript"/>
        </w:rPr>
        <w:t>2</w:t>
      </w:r>
      <w:r>
        <w:t>, zastavěná plocha a nádvoří, jehož součástí je stavba bez čp/če, garáž, zapsaného na LV č. 3733 pro k.ú. Plzeň, za smluvní kupní cenu 120 000,- Kč. Nemovité věci - pozemek parc.č. 3639/3, k.ú. Plzeň, vč. stavby garáže - mají manželé Šusovi ve společném jmění manželů.</w:t>
      </w:r>
    </w:p>
    <w:p w:rsidR="00B627E5" w:rsidRDefault="00B627E5" w:rsidP="00B627E5">
      <w:pPr>
        <w:pStyle w:val="vlevo"/>
        <w:rPr>
          <w:rFonts w:cs="Arial"/>
          <w:szCs w:val="24"/>
        </w:rPr>
      </w:pPr>
      <w:r>
        <w:rPr>
          <w:rFonts w:cs="Arial"/>
          <w:szCs w:val="24"/>
        </w:rPr>
        <w:t>Daň z nabytí nemovitých věcí bude uhrazena dle zákonného opatření Senátu 340/2013 Sb., o dani z nabytí nemovitých věcí, v platném znění. Město Plzeň uhradí prodávajícím kupní cenu poníženou o částku 4 800,- Kč odpovídající výši daně z nabytí nemovitých věcí. Město Plzeň se zavazuje, že provede úhradu daně Finančnímu úřadu do pěti pracovních dní po předložení daňového přiznání prodávajícími. Prodávající jsou povinni předložit daňové přiznání nejpozději do 10 pracovních dnů před uplynutím třetího kalendářního měsíce následujícího po kalendářním měsíci, v němž byl v katastru nemovitostí proveden vklad vlastnického práva k nemovitým věcem.</w:t>
      </w:r>
    </w:p>
    <w:p w:rsidR="00B627E5" w:rsidRDefault="00B627E5" w:rsidP="00B627E5">
      <w:pPr>
        <w:pStyle w:val="vlevo"/>
        <w:rPr>
          <w:szCs w:val="24"/>
        </w:rPr>
      </w:pPr>
      <w:r>
        <w:t>Zdrojem finančního krytí bude rozpočet Odboru nabývání majetku MMP</w:t>
      </w:r>
      <w:r>
        <w:rPr>
          <w:szCs w:val="24"/>
        </w:rPr>
        <w:t>.</w:t>
      </w:r>
    </w:p>
    <w:p w:rsidR="00B627E5" w:rsidRDefault="00B627E5" w:rsidP="00B627E5">
      <w:pPr>
        <w:pStyle w:val="vlevo"/>
        <w:ind w:left="284"/>
        <w:rPr>
          <w:szCs w:val="24"/>
        </w:rPr>
      </w:pPr>
    </w:p>
    <w:p w:rsidR="00B627E5" w:rsidRDefault="00B627E5" w:rsidP="00B627E5">
      <w:pPr>
        <w:pStyle w:val="parzahl"/>
        <w:rPr>
          <w:szCs w:val="24"/>
        </w:rPr>
      </w:pPr>
      <w:r>
        <w:rPr>
          <w:szCs w:val="24"/>
        </w:rPr>
        <w:t>U k l á d á</w:t>
      </w:r>
    </w:p>
    <w:p w:rsidR="00B627E5" w:rsidRDefault="00B627E5" w:rsidP="00B627E5">
      <w:pPr>
        <w:pStyle w:val="Paragrafneslovan"/>
      </w:pPr>
      <w:r>
        <w:t>Radě města Plzně</w:t>
      </w:r>
    </w:p>
    <w:p w:rsidR="00B627E5" w:rsidRDefault="00B627E5" w:rsidP="00B627E5">
      <w:pPr>
        <w:pStyle w:val="Paragrafneslovan"/>
      </w:pPr>
      <w:r>
        <w:t>zajistit realizaci smluvního vztahu dle bodu II. tohoto usnesení.</w:t>
      </w:r>
    </w:p>
    <w:p w:rsidR="00B627E5" w:rsidRDefault="00B627E5" w:rsidP="00B627E5">
      <w:pPr>
        <w:pStyle w:val="Paragrafneslovan"/>
        <w:pBdr>
          <w:bottom w:val="single" w:sz="4" w:space="1" w:color="auto"/>
        </w:pBdr>
      </w:pPr>
      <w:r>
        <w:t>Termín: 31. 12. 2015</w:t>
      </w:r>
    </w:p>
    <w:p w:rsidR="00B627E5" w:rsidRDefault="00B627E5" w:rsidP="00B627E5">
      <w:pPr>
        <w:pStyle w:val="Paragrafneslovan"/>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t xml:space="preserve">Zodpovídá: </w:t>
      </w:r>
      <w:r>
        <w:tab/>
        <w:t>H. Matoušová, členka RMP</w:t>
      </w:r>
    </w:p>
    <w:p w:rsidR="00B627E5" w:rsidRDefault="00B627E5" w:rsidP="00B627E5">
      <w:pPr>
        <w:pStyle w:val="Paragrafneslovan"/>
      </w:pPr>
      <w:r>
        <w:tab/>
      </w:r>
      <w:r>
        <w:tab/>
      </w:r>
      <w:r>
        <w:tab/>
      </w:r>
      <w:r>
        <w:tab/>
      </w:r>
      <w:r>
        <w:tab/>
      </w:r>
      <w:r>
        <w:tab/>
      </w:r>
      <w:r>
        <w:tab/>
      </w:r>
      <w:r>
        <w:tab/>
      </w:r>
      <w:r>
        <w:tab/>
        <w:t>Ing. Hasmanová</w:t>
      </w:r>
    </w:p>
    <w:p w:rsidR="00B627E5" w:rsidRDefault="00B627E5" w:rsidP="00B627E5">
      <w:pPr>
        <w:pStyle w:val="Paragrafneslovan"/>
      </w:pPr>
    </w:p>
    <w:p w:rsidR="00B627E5" w:rsidRDefault="00B627E5" w:rsidP="00B627E5">
      <w:pPr>
        <w:pStyle w:val="Paragrafneslovan"/>
      </w:pPr>
    </w:p>
    <w:p w:rsidR="00B627E5" w:rsidRDefault="00B627E5" w:rsidP="00B627E5">
      <w:pPr>
        <w:pStyle w:val="Paragrafneslovan"/>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5"/>
        <w:gridCol w:w="2550"/>
      </w:tblGrid>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bookmarkStart w:id="3" w:name="Text6" w:colFirst="0" w:colLast="0"/>
            <w:bookmarkStart w:id="4" w:name="Text9" w:colFirst="0" w:colLast="0"/>
            <w:r>
              <w:rPr>
                <w:lang w:eastAsia="en-US"/>
              </w:rPr>
              <w:lastRenderedPageBreak/>
              <w:t>Zprávu předkládá:</w:t>
            </w:r>
          </w:p>
        </w:tc>
        <w:tc>
          <w:tcPr>
            <w:tcW w:w="3686" w:type="dxa"/>
            <w:tcBorders>
              <w:top w:val="nil"/>
              <w:left w:val="nil"/>
              <w:bottom w:val="nil"/>
              <w:right w:val="nil"/>
            </w:tcBorders>
            <w:hideMark/>
          </w:tcPr>
          <w:p w:rsidR="00B627E5" w:rsidRDefault="00B627E5" w:rsidP="00F25CE9">
            <w:pPr>
              <w:pStyle w:val="Paragrafneslovan"/>
              <w:rPr>
                <w:lang w:eastAsia="en-US"/>
              </w:rPr>
            </w:pPr>
            <w:r>
              <w:rPr>
                <w:lang w:eastAsia="en-US"/>
              </w:rPr>
              <w:t>H. Matoušová, členka RMP</w:t>
            </w:r>
          </w:p>
        </w:tc>
        <w:tc>
          <w:tcPr>
            <w:tcW w:w="2551" w:type="dxa"/>
            <w:tcBorders>
              <w:top w:val="nil"/>
              <w:left w:val="nil"/>
              <w:bottom w:val="nil"/>
              <w:right w:val="nil"/>
            </w:tcBorders>
          </w:tcPr>
          <w:p w:rsidR="00B627E5" w:rsidRDefault="00B627E5" w:rsidP="00F25CE9">
            <w:pPr>
              <w:pStyle w:val="Paragrafneslovan"/>
              <w:rPr>
                <w:lang w:eastAsia="en-US"/>
              </w:rPr>
            </w:pPr>
          </w:p>
        </w:tc>
      </w:tr>
      <w:bookmarkEnd w:id="3"/>
      <w:bookmarkEnd w:id="4"/>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r>
              <w:rPr>
                <w:lang w:eastAsia="en-US"/>
              </w:rPr>
              <w:t>Zprávu zpracoval dne:</w:t>
            </w:r>
          </w:p>
        </w:tc>
        <w:tc>
          <w:tcPr>
            <w:tcW w:w="3686" w:type="dxa"/>
            <w:tcBorders>
              <w:top w:val="nil"/>
              <w:left w:val="nil"/>
              <w:bottom w:val="nil"/>
              <w:right w:val="nil"/>
            </w:tcBorders>
            <w:hideMark/>
          </w:tcPr>
          <w:p w:rsidR="00B627E5" w:rsidRDefault="009445C9" w:rsidP="00F25CE9">
            <w:pPr>
              <w:pStyle w:val="Paragrafneslovan"/>
              <w:rPr>
                <w:lang w:eastAsia="en-US"/>
              </w:rPr>
            </w:pPr>
            <w:r>
              <w:rPr>
                <w:lang w:eastAsia="en-US"/>
              </w:rPr>
              <w:t>5. 6. 2015</w:t>
            </w:r>
          </w:p>
        </w:tc>
        <w:tc>
          <w:tcPr>
            <w:tcW w:w="2551" w:type="dxa"/>
            <w:tcBorders>
              <w:top w:val="nil"/>
              <w:left w:val="nil"/>
              <w:bottom w:val="nil"/>
              <w:right w:val="nil"/>
            </w:tcBorders>
            <w:hideMark/>
          </w:tcPr>
          <w:p w:rsidR="00B627E5" w:rsidRDefault="00B627E5" w:rsidP="00F25CE9">
            <w:pPr>
              <w:pStyle w:val="Paragrafneslovan"/>
              <w:rPr>
                <w:lang w:eastAsia="en-US"/>
              </w:rPr>
            </w:pPr>
            <w:r>
              <w:rPr>
                <w:lang w:eastAsia="en-US"/>
              </w:rPr>
              <w:t>A. Štichová, MAJ MMP</w:t>
            </w:r>
          </w:p>
        </w:tc>
      </w:tr>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r>
              <w:rPr>
                <w:lang w:eastAsia="en-US"/>
              </w:rPr>
              <w:t>Schůze ZMP se zúčastní:</w:t>
            </w:r>
          </w:p>
        </w:tc>
        <w:tc>
          <w:tcPr>
            <w:tcW w:w="3686" w:type="dxa"/>
            <w:tcBorders>
              <w:top w:val="nil"/>
              <w:left w:val="nil"/>
              <w:bottom w:val="nil"/>
              <w:right w:val="nil"/>
            </w:tcBorders>
            <w:hideMark/>
          </w:tcPr>
          <w:p w:rsidR="00B627E5" w:rsidRDefault="00B627E5" w:rsidP="00F25CE9">
            <w:pPr>
              <w:pStyle w:val="Paragrafneslovan"/>
              <w:rPr>
                <w:lang w:eastAsia="en-US"/>
              </w:rPr>
            </w:pPr>
            <w:r>
              <w:rPr>
                <w:lang w:eastAsia="en-US"/>
              </w:rPr>
              <w:t>Ing. Hasmanová, VO MAJ MMP</w:t>
            </w:r>
          </w:p>
        </w:tc>
        <w:tc>
          <w:tcPr>
            <w:tcW w:w="2551" w:type="dxa"/>
            <w:tcBorders>
              <w:top w:val="nil"/>
              <w:left w:val="nil"/>
              <w:bottom w:val="nil"/>
              <w:right w:val="nil"/>
            </w:tcBorders>
          </w:tcPr>
          <w:p w:rsidR="00B627E5" w:rsidRDefault="00B627E5" w:rsidP="00F25CE9">
            <w:pPr>
              <w:pStyle w:val="Paragrafneslovan"/>
              <w:rPr>
                <w:lang w:eastAsia="en-US"/>
              </w:rPr>
            </w:pPr>
          </w:p>
        </w:tc>
      </w:tr>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r>
              <w:rPr>
                <w:lang w:eastAsia="en-US"/>
              </w:rPr>
              <w:t>Obsah zprávy projednán s:</w:t>
            </w:r>
          </w:p>
        </w:tc>
        <w:tc>
          <w:tcPr>
            <w:tcW w:w="3686" w:type="dxa"/>
            <w:tcBorders>
              <w:top w:val="nil"/>
              <w:left w:val="nil"/>
              <w:bottom w:val="nil"/>
              <w:right w:val="nil"/>
            </w:tcBorders>
            <w:hideMark/>
          </w:tcPr>
          <w:p w:rsidR="00B627E5" w:rsidRDefault="00B627E5" w:rsidP="00F25CE9">
            <w:pPr>
              <w:pStyle w:val="Paragrafneslovan"/>
              <w:rPr>
                <w:lang w:eastAsia="en-US"/>
              </w:rPr>
            </w:pPr>
            <w:r>
              <w:rPr>
                <w:lang w:eastAsia="en-US"/>
              </w:rPr>
              <w:t>Ing. Kuglerovou, MBA, ŘEÚ</w:t>
            </w:r>
          </w:p>
        </w:tc>
        <w:tc>
          <w:tcPr>
            <w:tcW w:w="2551" w:type="dxa"/>
            <w:tcBorders>
              <w:top w:val="nil"/>
              <w:left w:val="nil"/>
              <w:bottom w:val="nil"/>
              <w:right w:val="nil"/>
            </w:tcBorders>
            <w:hideMark/>
          </w:tcPr>
          <w:p w:rsidR="00B627E5" w:rsidRDefault="00B627E5" w:rsidP="00C16B9D">
            <w:pPr>
              <w:pStyle w:val="Paragrafneslovan"/>
              <w:rPr>
                <w:lang w:eastAsia="en-US"/>
              </w:rPr>
            </w:pPr>
            <w:r>
              <w:rPr>
                <w:lang w:eastAsia="en-US"/>
              </w:rPr>
              <w:t xml:space="preserve">souhlasí   </w:t>
            </w:r>
          </w:p>
        </w:tc>
      </w:tr>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r>
              <w:rPr>
                <w:lang w:eastAsia="en-US"/>
              </w:rPr>
              <w:t>Zveřejněno na úřední desce:</w:t>
            </w:r>
          </w:p>
        </w:tc>
        <w:tc>
          <w:tcPr>
            <w:tcW w:w="3686" w:type="dxa"/>
            <w:tcBorders>
              <w:top w:val="nil"/>
              <w:left w:val="nil"/>
              <w:bottom w:val="nil"/>
              <w:right w:val="nil"/>
            </w:tcBorders>
            <w:hideMark/>
          </w:tcPr>
          <w:p w:rsidR="00B627E5" w:rsidRDefault="00B627E5" w:rsidP="00F25CE9">
            <w:pPr>
              <w:pStyle w:val="Paragrafneslovan"/>
              <w:rPr>
                <w:lang w:eastAsia="en-US"/>
              </w:rPr>
            </w:pPr>
            <w:r>
              <w:rPr>
                <w:lang w:eastAsia="en-US"/>
              </w:rPr>
              <w:t>nepodléhá zveřejnění</w:t>
            </w:r>
          </w:p>
        </w:tc>
        <w:tc>
          <w:tcPr>
            <w:tcW w:w="2551" w:type="dxa"/>
            <w:tcBorders>
              <w:top w:val="nil"/>
              <w:left w:val="nil"/>
              <w:bottom w:val="nil"/>
              <w:right w:val="nil"/>
            </w:tcBorders>
          </w:tcPr>
          <w:p w:rsidR="00B627E5" w:rsidRDefault="00B627E5" w:rsidP="00F25CE9">
            <w:pPr>
              <w:pStyle w:val="Paragrafneslovan"/>
              <w:rPr>
                <w:lang w:eastAsia="en-US"/>
              </w:rPr>
            </w:pPr>
          </w:p>
        </w:tc>
      </w:tr>
      <w:tr w:rsidR="00B627E5" w:rsidTr="00F25CE9">
        <w:tc>
          <w:tcPr>
            <w:tcW w:w="3261" w:type="dxa"/>
            <w:tcBorders>
              <w:top w:val="nil"/>
              <w:left w:val="nil"/>
              <w:bottom w:val="nil"/>
              <w:right w:val="nil"/>
            </w:tcBorders>
            <w:hideMark/>
          </w:tcPr>
          <w:p w:rsidR="00B627E5" w:rsidRDefault="00B627E5" w:rsidP="00F25CE9">
            <w:pPr>
              <w:pStyle w:val="Paragrafneslovan"/>
              <w:rPr>
                <w:lang w:eastAsia="en-US"/>
              </w:rPr>
            </w:pPr>
            <w:r>
              <w:rPr>
                <w:lang w:eastAsia="en-US"/>
              </w:rPr>
              <w:t>Projednáno v RMP:</w:t>
            </w:r>
          </w:p>
        </w:tc>
        <w:tc>
          <w:tcPr>
            <w:tcW w:w="3686" w:type="dxa"/>
            <w:tcBorders>
              <w:top w:val="nil"/>
              <w:left w:val="nil"/>
              <w:bottom w:val="nil"/>
              <w:right w:val="nil"/>
            </w:tcBorders>
            <w:hideMark/>
          </w:tcPr>
          <w:p w:rsidR="00B627E5" w:rsidRDefault="00B627E5" w:rsidP="00B627E5">
            <w:pPr>
              <w:pStyle w:val="Paragrafneslovan"/>
              <w:rPr>
                <w:lang w:eastAsia="en-US"/>
              </w:rPr>
            </w:pPr>
            <w:r>
              <w:rPr>
                <w:lang w:eastAsia="en-US"/>
              </w:rPr>
              <w:t>dne 4. 6. 2015</w:t>
            </w:r>
          </w:p>
        </w:tc>
        <w:tc>
          <w:tcPr>
            <w:tcW w:w="2551" w:type="dxa"/>
            <w:tcBorders>
              <w:top w:val="nil"/>
              <w:left w:val="nil"/>
              <w:bottom w:val="nil"/>
              <w:right w:val="nil"/>
            </w:tcBorders>
            <w:hideMark/>
          </w:tcPr>
          <w:p w:rsidR="00B627E5" w:rsidRDefault="00B627E5" w:rsidP="00B627E5">
            <w:pPr>
              <w:pStyle w:val="Paragrafneslovan"/>
              <w:rPr>
                <w:lang w:eastAsia="en-US"/>
              </w:rPr>
            </w:pPr>
            <w:r>
              <w:rPr>
                <w:lang w:eastAsia="en-US"/>
              </w:rPr>
              <w:t xml:space="preserve">č. usnesení: </w:t>
            </w:r>
            <w:r w:rsidR="00831352">
              <w:rPr>
                <w:lang w:eastAsia="en-US"/>
              </w:rPr>
              <w:t>678</w:t>
            </w:r>
            <w:bookmarkStart w:id="5" w:name="_GoBack"/>
            <w:bookmarkEnd w:id="5"/>
          </w:p>
        </w:tc>
      </w:tr>
    </w:tbl>
    <w:p w:rsidR="00B627E5" w:rsidRDefault="00B627E5" w:rsidP="00B627E5">
      <w:pPr>
        <w:rPr>
          <w:sz w:val="24"/>
          <w:szCs w:val="24"/>
        </w:rPr>
      </w:pPr>
    </w:p>
    <w:p w:rsidR="00B627E5" w:rsidRDefault="00B627E5" w:rsidP="00B627E5"/>
    <w:p w:rsidR="00B627E5" w:rsidRDefault="00B627E5" w:rsidP="00B627E5"/>
    <w:p w:rsidR="00B627E5" w:rsidRDefault="00B627E5" w:rsidP="00B627E5"/>
    <w:p w:rsidR="00B627E5" w:rsidRDefault="00B627E5" w:rsidP="00B627E5"/>
    <w:p w:rsidR="00B627E5" w:rsidRDefault="00B627E5" w:rsidP="00B627E5"/>
    <w:p w:rsidR="00F472E7" w:rsidRDefault="00F472E7"/>
    <w:sectPr w:rsidR="00F4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199E"/>
    <w:multiLevelType w:val="hybridMultilevel"/>
    <w:tmpl w:val="CFFCB602"/>
    <w:lvl w:ilvl="0" w:tplc="0D0E19BA">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E5"/>
    <w:rsid w:val="00354D06"/>
    <w:rsid w:val="00831352"/>
    <w:rsid w:val="009445C9"/>
    <w:rsid w:val="00B627E5"/>
    <w:rsid w:val="00C16B9D"/>
    <w:rsid w:val="00F4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7E5"/>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B627E5"/>
    <w:pPr>
      <w:tabs>
        <w:tab w:val="center" w:pos="4153"/>
        <w:tab w:val="right" w:pos="8306"/>
      </w:tabs>
    </w:pPr>
  </w:style>
  <w:style w:type="character" w:customStyle="1" w:styleId="ZpatChar">
    <w:name w:val="Zápatí Char"/>
    <w:basedOn w:val="Standardnpsmoodstavce"/>
    <w:link w:val="Zpat"/>
    <w:rsid w:val="00B627E5"/>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B627E5"/>
    <w:pPr>
      <w:ind w:left="720"/>
      <w:contextualSpacing/>
    </w:pPr>
  </w:style>
  <w:style w:type="paragraph" w:customStyle="1" w:styleId="Paragrafneslovan">
    <w:name w:val="Paragraf nečíslovaný"/>
    <w:basedOn w:val="Normln"/>
    <w:autoRedefine/>
    <w:rsid w:val="00B627E5"/>
    <w:pPr>
      <w:ind w:firstLine="0"/>
      <w:jc w:val="both"/>
    </w:pPr>
    <w:rPr>
      <w:sz w:val="24"/>
    </w:rPr>
  </w:style>
  <w:style w:type="paragraph" w:customStyle="1" w:styleId="parzahl">
    <w:name w:val="parzahl"/>
    <w:basedOn w:val="Normln"/>
    <w:next w:val="Paragrafneslovan"/>
    <w:rsid w:val="00B627E5"/>
    <w:pPr>
      <w:numPr>
        <w:numId w:val="1"/>
      </w:numPr>
      <w:spacing w:before="120" w:after="120"/>
    </w:pPr>
    <w:rPr>
      <w:b/>
      <w:sz w:val="24"/>
    </w:rPr>
  </w:style>
  <w:style w:type="character" w:customStyle="1" w:styleId="vlevoChar">
    <w:name w:val="vlevo Char"/>
    <w:link w:val="vlevo"/>
    <w:locked/>
    <w:rsid w:val="00B627E5"/>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B627E5"/>
    <w:pPr>
      <w:ind w:firstLine="0"/>
      <w:jc w:val="both"/>
    </w:pPr>
    <w:rPr>
      <w:sz w:val="24"/>
    </w:rPr>
  </w:style>
  <w:style w:type="paragraph" w:customStyle="1" w:styleId="nadpcent">
    <w:name w:val="nadpcent"/>
    <w:basedOn w:val="Normln"/>
    <w:next w:val="vlevo"/>
    <w:autoRedefine/>
    <w:rsid w:val="00B627E5"/>
    <w:pPr>
      <w:spacing w:before="600" w:after="480"/>
      <w:ind w:firstLine="0"/>
      <w:jc w:val="center"/>
    </w:pPr>
    <w:rPr>
      <w:b/>
      <w:caps/>
      <w:spacing w:val="22"/>
      <w:sz w:val="24"/>
      <w:lang w:val="en-AU"/>
    </w:rPr>
  </w:style>
  <w:style w:type="paragraph" w:customStyle="1" w:styleId="vlevot">
    <w:name w:val="vlevot"/>
    <w:basedOn w:val="vlevo"/>
    <w:autoRedefine/>
    <w:rsid w:val="00B627E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7E5"/>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B627E5"/>
    <w:pPr>
      <w:tabs>
        <w:tab w:val="center" w:pos="4153"/>
        <w:tab w:val="right" w:pos="8306"/>
      </w:tabs>
    </w:pPr>
  </w:style>
  <w:style w:type="character" w:customStyle="1" w:styleId="ZpatChar">
    <w:name w:val="Zápatí Char"/>
    <w:basedOn w:val="Standardnpsmoodstavce"/>
    <w:link w:val="Zpat"/>
    <w:rsid w:val="00B627E5"/>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B627E5"/>
    <w:pPr>
      <w:ind w:left="720"/>
      <w:contextualSpacing/>
    </w:pPr>
  </w:style>
  <w:style w:type="paragraph" w:customStyle="1" w:styleId="Paragrafneslovan">
    <w:name w:val="Paragraf nečíslovaný"/>
    <w:basedOn w:val="Normln"/>
    <w:autoRedefine/>
    <w:rsid w:val="00B627E5"/>
    <w:pPr>
      <w:ind w:firstLine="0"/>
      <w:jc w:val="both"/>
    </w:pPr>
    <w:rPr>
      <w:sz w:val="24"/>
    </w:rPr>
  </w:style>
  <w:style w:type="paragraph" w:customStyle="1" w:styleId="parzahl">
    <w:name w:val="parzahl"/>
    <w:basedOn w:val="Normln"/>
    <w:next w:val="Paragrafneslovan"/>
    <w:rsid w:val="00B627E5"/>
    <w:pPr>
      <w:numPr>
        <w:numId w:val="1"/>
      </w:numPr>
      <w:spacing w:before="120" w:after="120"/>
    </w:pPr>
    <w:rPr>
      <w:b/>
      <w:sz w:val="24"/>
    </w:rPr>
  </w:style>
  <w:style w:type="character" w:customStyle="1" w:styleId="vlevoChar">
    <w:name w:val="vlevo Char"/>
    <w:link w:val="vlevo"/>
    <w:locked/>
    <w:rsid w:val="00B627E5"/>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B627E5"/>
    <w:pPr>
      <w:ind w:firstLine="0"/>
      <w:jc w:val="both"/>
    </w:pPr>
    <w:rPr>
      <w:sz w:val="24"/>
    </w:rPr>
  </w:style>
  <w:style w:type="paragraph" w:customStyle="1" w:styleId="nadpcent">
    <w:name w:val="nadpcent"/>
    <w:basedOn w:val="Normln"/>
    <w:next w:val="vlevo"/>
    <w:autoRedefine/>
    <w:rsid w:val="00B627E5"/>
    <w:pPr>
      <w:spacing w:before="600" w:after="480"/>
      <w:ind w:firstLine="0"/>
      <w:jc w:val="center"/>
    </w:pPr>
    <w:rPr>
      <w:b/>
      <w:caps/>
      <w:spacing w:val="22"/>
      <w:sz w:val="24"/>
      <w:lang w:val="en-AU"/>
    </w:rPr>
  </w:style>
  <w:style w:type="paragraph" w:customStyle="1" w:styleId="vlevot">
    <w:name w:val="vlevot"/>
    <w:basedOn w:val="vlevo"/>
    <w:autoRedefine/>
    <w:rsid w:val="00B627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1963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4</cp:revision>
  <cp:lastPrinted>2015-06-01T09:24:00Z</cp:lastPrinted>
  <dcterms:created xsi:type="dcterms:W3CDTF">2015-06-01T09:21:00Z</dcterms:created>
  <dcterms:modified xsi:type="dcterms:W3CDTF">2015-06-05T11:07:00Z</dcterms:modified>
</cp:coreProperties>
</file>