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287" w:rsidRPr="00BA4C21" w:rsidRDefault="00A25287" w:rsidP="00A25287">
      <w:pPr>
        <w:jc w:val="center"/>
        <w:rPr>
          <w:b/>
          <w:szCs w:val="24"/>
        </w:rPr>
      </w:pPr>
      <w:r>
        <w:rPr>
          <w:b/>
        </w:rPr>
        <w:t>Doporučení</w:t>
      </w:r>
      <w:r w:rsidRPr="00BA4C21">
        <w:rPr>
          <w:b/>
        </w:rPr>
        <w:t xml:space="preserve"> Komise RMP pro nakládání s</w:t>
      </w:r>
      <w:r>
        <w:rPr>
          <w:b/>
        </w:rPr>
        <w:t> </w:t>
      </w:r>
      <w:r w:rsidRPr="00BA4C21">
        <w:rPr>
          <w:b/>
        </w:rPr>
        <w:t>majetkem</w:t>
      </w:r>
      <w:r>
        <w:rPr>
          <w:b/>
        </w:rPr>
        <w:t xml:space="preserve"> </w:t>
      </w:r>
      <w:r w:rsidRPr="00BA4C21">
        <w:rPr>
          <w:b/>
          <w:szCs w:val="24"/>
        </w:rPr>
        <w:t xml:space="preserve">ze dne </w:t>
      </w:r>
      <w:r>
        <w:rPr>
          <w:b/>
          <w:szCs w:val="24"/>
        </w:rPr>
        <w:t>19. května 2015</w:t>
      </w:r>
    </w:p>
    <w:p w:rsidR="00A25287" w:rsidRDefault="00A25287" w:rsidP="00A25287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sz w:val="22"/>
          <w:szCs w:val="22"/>
          <w:u w:val="single"/>
        </w:rPr>
      </w:pPr>
    </w:p>
    <w:p w:rsidR="00A25287" w:rsidRPr="000953C6" w:rsidRDefault="00A25287" w:rsidP="00A25287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sz w:val="22"/>
          <w:szCs w:val="22"/>
          <w:u w:val="single"/>
        </w:rPr>
      </w:pPr>
      <w:r w:rsidRPr="000953C6">
        <w:rPr>
          <w:sz w:val="22"/>
          <w:szCs w:val="22"/>
          <w:u w:val="single"/>
        </w:rPr>
        <w:t>PROP+EVID/1/B Bezúplatný převod a ukončení výpůjčky nemovité věci na adrese Zborovská 40</w:t>
      </w:r>
    </w:p>
    <w:p w:rsidR="00A25287" w:rsidRDefault="00A25287" w:rsidP="00A25287">
      <w:pPr>
        <w:jc w:val="both"/>
      </w:pPr>
      <w:r>
        <w:t>KNM doporučuje RMP:</w:t>
      </w:r>
    </w:p>
    <w:p w:rsidR="00A25287" w:rsidRPr="00801C14" w:rsidRDefault="00A25287" w:rsidP="00A25287">
      <w:pPr>
        <w:jc w:val="both"/>
      </w:pPr>
      <w:r w:rsidRPr="00801C14">
        <w:t>1. Souhlasit s bezúplatným převodem nemovité věci na adrese Zborovská 40:</w:t>
      </w:r>
    </w:p>
    <w:p w:rsidR="00A25287" w:rsidRPr="00801C14" w:rsidRDefault="00A25287" w:rsidP="00A25287">
      <w:pPr>
        <w:tabs>
          <w:tab w:val="left" w:pos="3969"/>
        </w:tabs>
        <w:jc w:val="both"/>
        <w:rPr>
          <w:szCs w:val="24"/>
        </w:rPr>
      </w:pPr>
      <w:r w:rsidRPr="00801C14">
        <w:rPr>
          <w:szCs w:val="24"/>
        </w:rPr>
        <w:t xml:space="preserve">- pozemku </w:t>
      </w:r>
      <w:proofErr w:type="spellStart"/>
      <w:r w:rsidRPr="00801C14">
        <w:rPr>
          <w:szCs w:val="24"/>
        </w:rPr>
        <w:t>parc.č</w:t>
      </w:r>
      <w:proofErr w:type="spellEnd"/>
      <w:r w:rsidRPr="00801C14">
        <w:rPr>
          <w:szCs w:val="24"/>
        </w:rPr>
        <w:t>. 1, o výměře 1616 m</w:t>
      </w:r>
      <w:r w:rsidRPr="00801C14">
        <w:rPr>
          <w:szCs w:val="24"/>
          <w:vertAlign w:val="superscript"/>
        </w:rPr>
        <w:t>2</w:t>
      </w:r>
      <w:r w:rsidRPr="00801C14">
        <w:rPr>
          <w:szCs w:val="24"/>
        </w:rPr>
        <w:t xml:space="preserve">, zastavěná plocha a nádvoří, jehož součástí je stavba </w:t>
      </w:r>
      <w:proofErr w:type="spellStart"/>
      <w:r w:rsidRPr="00801C14">
        <w:rPr>
          <w:szCs w:val="24"/>
        </w:rPr>
        <w:t>Doudlevce</w:t>
      </w:r>
      <w:proofErr w:type="spellEnd"/>
      <w:r w:rsidRPr="00801C14">
        <w:rPr>
          <w:szCs w:val="24"/>
        </w:rPr>
        <w:t xml:space="preserve"> č.p. 11, stavba občanského vybavení, </w:t>
      </w:r>
      <w:proofErr w:type="spellStart"/>
      <w:r w:rsidRPr="00801C14">
        <w:t>k.ú</w:t>
      </w:r>
      <w:proofErr w:type="spellEnd"/>
      <w:r w:rsidRPr="00801C14">
        <w:t xml:space="preserve">. </w:t>
      </w:r>
      <w:proofErr w:type="spellStart"/>
      <w:r w:rsidRPr="00801C14">
        <w:t>Doudlevce</w:t>
      </w:r>
      <w:proofErr w:type="spellEnd"/>
      <w:r w:rsidRPr="00801C14">
        <w:t>,</w:t>
      </w:r>
      <w:r w:rsidRPr="00801C14">
        <w:rPr>
          <w:szCs w:val="24"/>
        </w:rPr>
        <w:t xml:space="preserve"> </w:t>
      </w:r>
      <w:r w:rsidRPr="00801C14">
        <w:t xml:space="preserve">včetně související vodovodní, kanalizační přípojky, </w:t>
      </w:r>
      <w:r w:rsidRPr="00801C14">
        <w:rPr>
          <w:szCs w:val="24"/>
        </w:rPr>
        <w:t>do majetku Plzeňského kraje, se sídlem Škroupova 18, Plzeň, IČ 70890366.</w:t>
      </w:r>
    </w:p>
    <w:p w:rsidR="00A25287" w:rsidRPr="00801C14" w:rsidRDefault="00A25287" w:rsidP="00A25287">
      <w:pPr>
        <w:jc w:val="both"/>
        <w:rPr>
          <w:szCs w:val="24"/>
        </w:rPr>
      </w:pPr>
      <w:r w:rsidRPr="00801C14">
        <w:rPr>
          <w:szCs w:val="24"/>
        </w:rPr>
        <w:t xml:space="preserve">Ve smlouvě bude zřízena ve prospěch města Plzně bezúplatná služebnost veřejného osvětlení spočívající v povinnosti vlastníka pozemku </w:t>
      </w:r>
      <w:proofErr w:type="spellStart"/>
      <w:r w:rsidRPr="00801C14">
        <w:rPr>
          <w:szCs w:val="24"/>
        </w:rPr>
        <w:t>parc.č</w:t>
      </w:r>
      <w:proofErr w:type="spellEnd"/>
      <w:r w:rsidRPr="00801C14">
        <w:rPr>
          <w:szCs w:val="24"/>
        </w:rPr>
        <w:t xml:space="preserve">. 1, </w:t>
      </w:r>
      <w:proofErr w:type="spellStart"/>
      <w:r w:rsidRPr="00801C14">
        <w:rPr>
          <w:szCs w:val="24"/>
        </w:rPr>
        <w:t>k.ú</w:t>
      </w:r>
      <w:proofErr w:type="spellEnd"/>
      <w:r w:rsidRPr="00801C14">
        <w:rPr>
          <w:szCs w:val="24"/>
        </w:rPr>
        <w:t xml:space="preserve">. </w:t>
      </w:r>
      <w:proofErr w:type="spellStart"/>
      <w:r w:rsidRPr="00801C14">
        <w:rPr>
          <w:szCs w:val="24"/>
        </w:rPr>
        <w:t>Doudlevce</w:t>
      </w:r>
      <w:proofErr w:type="spellEnd"/>
      <w:r w:rsidRPr="00801C14">
        <w:rPr>
          <w:szCs w:val="24"/>
        </w:rPr>
        <w:t xml:space="preserve">, strpět umístění, existenci a provoz veřejného osvětlení na pozemku </w:t>
      </w:r>
      <w:proofErr w:type="spellStart"/>
      <w:r w:rsidRPr="00801C14">
        <w:rPr>
          <w:szCs w:val="24"/>
        </w:rPr>
        <w:t>parc.č</w:t>
      </w:r>
      <w:proofErr w:type="spellEnd"/>
      <w:r w:rsidRPr="00801C14">
        <w:rPr>
          <w:szCs w:val="24"/>
        </w:rPr>
        <w:t xml:space="preserve">. 1, </w:t>
      </w:r>
      <w:proofErr w:type="spellStart"/>
      <w:r w:rsidRPr="00801C14">
        <w:rPr>
          <w:szCs w:val="24"/>
        </w:rPr>
        <w:t>k.ú</w:t>
      </w:r>
      <w:proofErr w:type="spellEnd"/>
      <w:r w:rsidRPr="00801C14">
        <w:rPr>
          <w:szCs w:val="24"/>
        </w:rPr>
        <w:t>. </w:t>
      </w:r>
      <w:proofErr w:type="spellStart"/>
      <w:r w:rsidRPr="00801C14">
        <w:rPr>
          <w:szCs w:val="24"/>
        </w:rPr>
        <w:t>Doudlevce</w:t>
      </w:r>
      <w:proofErr w:type="spellEnd"/>
      <w:r w:rsidRPr="00801C14">
        <w:rPr>
          <w:szCs w:val="24"/>
        </w:rPr>
        <w:t>, a dále v povinnosti umožnit přístup, příjezd za účelem jeho opravy, údržby. Rozsah věcného břemene bude stanoven geometrickým plánem č. 1080-27/2015.</w:t>
      </w:r>
    </w:p>
    <w:p w:rsidR="00A25287" w:rsidRPr="00801C14" w:rsidRDefault="00A25287" w:rsidP="00A25287">
      <w:pPr>
        <w:jc w:val="both"/>
        <w:rPr>
          <w:szCs w:val="24"/>
        </w:rPr>
      </w:pPr>
    </w:p>
    <w:p w:rsidR="00A25287" w:rsidRPr="00801C14" w:rsidRDefault="00A25287" w:rsidP="00A25287">
      <w:pPr>
        <w:spacing w:after="200" w:line="276" w:lineRule="auto"/>
        <w:rPr>
          <w:rFonts w:eastAsia="Calibri"/>
          <w:szCs w:val="24"/>
          <w:lang w:eastAsia="en-US"/>
        </w:rPr>
      </w:pPr>
      <w:r w:rsidRPr="00801C14">
        <w:rPr>
          <w:rFonts w:eastAsia="Calibri"/>
          <w:szCs w:val="24"/>
          <w:lang w:eastAsia="en-US"/>
        </w:rPr>
        <w:t>Bezúplatný převod bude realizován za těchto podmínek:</w:t>
      </w:r>
    </w:p>
    <w:p w:rsidR="00A25287" w:rsidRPr="00C870F7" w:rsidRDefault="00A25287" w:rsidP="00A25287">
      <w:pPr>
        <w:numPr>
          <w:ilvl w:val="0"/>
          <w:numId w:val="1"/>
        </w:numPr>
        <w:contextualSpacing/>
        <w:jc w:val="both"/>
        <w:rPr>
          <w:rFonts w:eastAsia="Calibri"/>
          <w:szCs w:val="24"/>
          <w:lang w:eastAsia="en-US"/>
        </w:rPr>
      </w:pPr>
      <w:r w:rsidRPr="00C870F7">
        <w:rPr>
          <w:rFonts w:eastAsia="Calibri"/>
          <w:szCs w:val="24"/>
          <w:lang w:eastAsia="en-US"/>
        </w:rPr>
        <w:t xml:space="preserve">Nemovitá věc tj. pozemek </w:t>
      </w:r>
      <w:proofErr w:type="spellStart"/>
      <w:r w:rsidRPr="00C870F7">
        <w:rPr>
          <w:rFonts w:eastAsia="Calibri"/>
          <w:szCs w:val="24"/>
          <w:lang w:eastAsia="en-US"/>
        </w:rPr>
        <w:t>parc.č</w:t>
      </w:r>
      <w:proofErr w:type="spellEnd"/>
      <w:r w:rsidRPr="00C870F7">
        <w:rPr>
          <w:rFonts w:eastAsia="Calibri"/>
          <w:szCs w:val="24"/>
          <w:lang w:eastAsia="en-US"/>
        </w:rPr>
        <w:t xml:space="preserve">. 1, zastavěná plocha a nádvoří, jehož součástí je stavba </w:t>
      </w:r>
      <w:proofErr w:type="spellStart"/>
      <w:r w:rsidRPr="00C870F7">
        <w:rPr>
          <w:rFonts w:eastAsia="Calibri"/>
          <w:szCs w:val="24"/>
          <w:lang w:eastAsia="en-US"/>
        </w:rPr>
        <w:t>Doudlevce</w:t>
      </w:r>
      <w:proofErr w:type="spellEnd"/>
      <w:r w:rsidRPr="00C870F7">
        <w:rPr>
          <w:rFonts w:eastAsia="Calibri"/>
          <w:szCs w:val="24"/>
          <w:lang w:eastAsia="en-US"/>
        </w:rPr>
        <w:t xml:space="preserve"> č.p. 11, </w:t>
      </w:r>
      <w:proofErr w:type="spellStart"/>
      <w:r w:rsidRPr="00C870F7">
        <w:rPr>
          <w:rFonts w:eastAsia="Calibri"/>
          <w:szCs w:val="24"/>
          <w:lang w:eastAsia="en-US"/>
        </w:rPr>
        <w:t>k.ú</w:t>
      </w:r>
      <w:proofErr w:type="spellEnd"/>
      <w:r w:rsidRPr="00C870F7">
        <w:rPr>
          <w:rFonts w:eastAsia="Calibri"/>
          <w:szCs w:val="24"/>
          <w:lang w:eastAsia="en-US"/>
        </w:rPr>
        <w:t xml:space="preserve">. </w:t>
      </w:r>
      <w:proofErr w:type="spellStart"/>
      <w:r w:rsidRPr="00C870F7">
        <w:rPr>
          <w:rFonts w:eastAsia="Calibri"/>
          <w:szCs w:val="24"/>
          <w:lang w:eastAsia="en-US"/>
        </w:rPr>
        <w:t>Doudlevce</w:t>
      </w:r>
      <w:proofErr w:type="spellEnd"/>
      <w:r w:rsidRPr="00C870F7">
        <w:rPr>
          <w:rFonts w:eastAsia="Calibri"/>
          <w:szCs w:val="24"/>
          <w:lang w:eastAsia="en-US"/>
        </w:rPr>
        <w:t>, se převádí z důvodu veřejného zájmu, k podpoře provozu Západočeského muzea v Plzni, příspěvkové organizace Plzeňského kraje. Nabyvatel se zavazuje o nemovitou věc řádně pečovat a užívat ji pouze k účelům uvedeným ve smlouvě. V případě převodu nemovité věci z důvodu veřejného zájmu nelze převedenou nemovitou věc využívat ke komerčním či jiným výdělečným účelům, nelze ji pronajímat a nelze ji dále převádět ve prospěch třetí osoby. Toto omezení se sjednává na dobu 20 let</w:t>
      </w:r>
      <w:r w:rsidR="00C870F7" w:rsidRPr="00C870F7">
        <w:rPr>
          <w:rFonts w:eastAsia="Calibri"/>
          <w:szCs w:val="24"/>
          <w:lang w:eastAsia="en-US"/>
        </w:rPr>
        <w:t xml:space="preserve"> </w:t>
      </w:r>
      <w:r w:rsidRPr="00C870F7">
        <w:rPr>
          <w:rFonts w:eastAsia="Calibri"/>
          <w:szCs w:val="24"/>
          <w:lang w:eastAsia="en-US"/>
        </w:rPr>
        <w:t xml:space="preserve">ode dne právních účinků vkladu vlastnického práva do katastru nemovitostí. </w:t>
      </w:r>
    </w:p>
    <w:p w:rsidR="00A25287" w:rsidRPr="00801C14" w:rsidRDefault="00A25287" w:rsidP="00A25287">
      <w:pPr>
        <w:numPr>
          <w:ilvl w:val="0"/>
          <w:numId w:val="1"/>
        </w:numPr>
        <w:contextualSpacing/>
        <w:rPr>
          <w:rFonts w:eastAsia="Calibri"/>
          <w:szCs w:val="24"/>
          <w:lang w:eastAsia="en-US"/>
        </w:rPr>
      </w:pPr>
      <w:r w:rsidRPr="00801C14">
        <w:rPr>
          <w:rFonts w:eastAsia="Calibri"/>
          <w:szCs w:val="24"/>
          <w:lang w:eastAsia="en-US"/>
        </w:rPr>
        <w:t>V případě, že by nabyvatel porušil kteroukoliv z povinností dle předchozího odstavce, dohodly se smluvní stany na smluvní pokutě v této výši:</w:t>
      </w:r>
    </w:p>
    <w:p w:rsidR="00A25287" w:rsidRPr="007A51E8" w:rsidRDefault="00A25287" w:rsidP="007A51E8">
      <w:pPr>
        <w:pStyle w:val="Odstavecseseznamem"/>
        <w:numPr>
          <w:ilvl w:val="0"/>
          <w:numId w:val="3"/>
        </w:numPr>
        <w:jc w:val="both"/>
        <w:rPr>
          <w:rFonts w:eastAsia="Calibri"/>
          <w:szCs w:val="24"/>
          <w:lang w:eastAsia="en-US"/>
        </w:rPr>
      </w:pPr>
      <w:r w:rsidRPr="007A51E8">
        <w:rPr>
          <w:rFonts w:eastAsia="Calibri"/>
          <w:szCs w:val="24"/>
          <w:lang w:eastAsia="en-US"/>
        </w:rPr>
        <w:t xml:space="preserve">V případě, že nabyvatel převede předmětnou nemovitou věc nebo její část na 3. osobu, zaplatí </w:t>
      </w:r>
      <w:r w:rsidR="007A51E8" w:rsidRPr="007A51E8">
        <w:rPr>
          <w:rFonts w:eastAsia="Calibri"/>
          <w:szCs w:val="24"/>
          <w:lang w:eastAsia="en-US"/>
        </w:rPr>
        <w:t>převodci smluvní pokutu ve výši</w:t>
      </w:r>
      <w:r w:rsidRPr="007A51E8">
        <w:rPr>
          <w:rFonts w:eastAsia="Calibri"/>
          <w:szCs w:val="24"/>
          <w:lang w:eastAsia="en-US"/>
        </w:rPr>
        <w:t xml:space="preserve"> ceny, kterou nemovitá věc měla ke dni právních účinků vkladu vlastnického práva do katastru nemovitostí. </w:t>
      </w:r>
    </w:p>
    <w:p w:rsidR="00A25287" w:rsidRPr="00AF3B02" w:rsidRDefault="00A25287" w:rsidP="00A25287">
      <w:pPr>
        <w:numPr>
          <w:ilvl w:val="0"/>
          <w:numId w:val="3"/>
        </w:numPr>
        <w:contextualSpacing/>
        <w:jc w:val="both"/>
        <w:rPr>
          <w:rFonts w:eastAsia="Calibri"/>
          <w:szCs w:val="24"/>
          <w:lang w:eastAsia="en-US"/>
        </w:rPr>
      </w:pPr>
      <w:r w:rsidRPr="00AF3B02">
        <w:rPr>
          <w:rFonts w:eastAsia="Calibri"/>
          <w:szCs w:val="24"/>
          <w:lang w:eastAsia="en-US"/>
        </w:rPr>
        <w:t>V případě, že nabyvatel nebude předmětnou nemovitou věc využívat ve veřejném zájmu v souladu s veřejným zájmem, bude ji využívat ke komerčním či jiným výdělečným účelům nebo ji pronajímat, zaplatí převodci smluvní pokutu ve výši 10 % z ceny, kterou nemovitá věc měla ke dni právních účinků vkladu vlastnického práva do katastru nemovitostí. Smluvní pokutu lze uložit i opakovaně a to za každé porušení smluvní povinnosti. V případě opakovaně uložené smluvní pokuty musí převodce nabyvateli vždy písemně oznámit, že bylo zjištěno porušení smluvní povinnosti a termín do kdy má být toto porušení smluvní povinnosti odstraněno. V případě, že nebude v tomto termínu porušení smluvní povinnosti nabyvatelem odstraněno, bude smluvní pokuta uložena opakovaně. Úhradu smluvní pokuty provede nabyvatel ve lhůtě 30 dnů po té, kdy bude k zaplacení smluvní pokuty převodcem vyzván.</w:t>
      </w:r>
    </w:p>
    <w:p w:rsidR="00A25287" w:rsidRPr="0030598D" w:rsidRDefault="00A25287" w:rsidP="00A25287">
      <w:pPr>
        <w:numPr>
          <w:ilvl w:val="0"/>
          <w:numId w:val="3"/>
        </w:numPr>
        <w:contextualSpacing/>
        <w:jc w:val="both"/>
        <w:rPr>
          <w:rFonts w:eastAsia="Calibri"/>
          <w:szCs w:val="24"/>
          <w:lang w:eastAsia="en-US"/>
        </w:rPr>
      </w:pPr>
      <w:r w:rsidRPr="0030598D">
        <w:rPr>
          <w:rFonts w:eastAsia="Calibri"/>
          <w:szCs w:val="24"/>
          <w:lang w:eastAsia="en-US"/>
        </w:rPr>
        <w:t>Převodce je oprávněn kdykoliv během 20 leté lhůty kontrolovat, zda jsou všechny omezující podmínky ze strany nabyvatele dodržovány a nabyvatel je povinen k tomu převodci poskytnout odpovídající součinnost.</w:t>
      </w:r>
    </w:p>
    <w:p w:rsidR="00A25287" w:rsidRPr="0030598D" w:rsidRDefault="00A25287" w:rsidP="00A25287">
      <w:pPr>
        <w:numPr>
          <w:ilvl w:val="0"/>
          <w:numId w:val="3"/>
        </w:numPr>
        <w:contextualSpacing/>
        <w:jc w:val="both"/>
        <w:rPr>
          <w:rFonts w:eastAsia="Calibri"/>
          <w:szCs w:val="24"/>
          <w:lang w:eastAsia="en-US"/>
        </w:rPr>
      </w:pPr>
      <w:r w:rsidRPr="0030598D">
        <w:rPr>
          <w:rFonts w:eastAsia="Calibri"/>
          <w:szCs w:val="24"/>
          <w:lang w:eastAsia="en-US"/>
        </w:rPr>
        <w:t>Nabyvatel je povinen vždy do 31. 1. následujícího roku předat převodci písemnou zprávu o plnění podmínek souvisejících s převodem z důvodu veřejného zájmu za rok pře</w:t>
      </w:r>
      <w:r w:rsidR="005F511F">
        <w:rPr>
          <w:rFonts w:eastAsia="Calibri"/>
          <w:szCs w:val="24"/>
          <w:lang w:eastAsia="en-US"/>
        </w:rPr>
        <w:t>d</w:t>
      </w:r>
      <w:bookmarkStart w:id="0" w:name="_GoBack"/>
      <w:bookmarkEnd w:id="0"/>
      <w:r w:rsidRPr="0030598D">
        <w:rPr>
          <w:rFonts w:eastAsia="Calibri"/>
          <w:szCs w:val="24"/>
          <w:lang w:eastAsia="en-US"/>
        </w:rPr>
        <w:t xml:space="preserve">cházející, tj. zprávu o zachování a rozvoji aktivit, které jsou ve veřejném zájmu a k jehož zachování se nabyvatel ve smlouvě </w:t>
      </w:r>
      <w:r w:rsidRPr="0030598D">
        <w:rPr>
          <w:rFonts w:eastAsia="Calibri"/>
          <w:szCs w:val="24"/>
          <w:lang w:eastAsia="en-US"/>
        </w:rPr>
        <w:lastRenderedPageBreak/>
        <w:t xml:space="preserve">zavázal. Za porušení tohoto závazku uhradí nabyvatel převodci jednorázovou smluvní pokutu ve výši 1000,- </w:t>
      </w:r>
      <w:proofErr w:type="spellStart"/>
      <w:r w:rsidRPr="0030598D">
        <w:rPr>
          <w:rFonts w:eastAsia="Calibri"/>
          <w:szCs w:val="24"/>
          <w:lang w:eastAsia="en-US"/>
        </w:rPr>
        <w:t>Kč,a</w:t>
      </w:r>
      <w:proofErr w:type="spellEnd"/>
      <w:r w:rsidRPr="0030598D">
        <w:rPr>
          <w:rFonts w:eastAsia="Calibri"/>
          <w:szCs w:val="24"/>
          <w:lang w:eastAsia="en-US"/>
        </w:rPr>
        <w:t xml:space="preserve"> to ve lhůtě 30 dnů po té, kdy bude k zaplacení smluvní pokuty převodcem vyzván.</w:t>
      </w:r>
    </w:p>
    <w:p w:rsidR="00A25287" w:rsidRPr="00801C14" w:rsidRDefault="00A25287" w:rsidP="00A25287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A25287" w:rsidRPr="00801C14" w:rsidRDefault="00A25287" w:rsidP="00A25287">
      <w:pPr>
        <w:jc w:val="both"/>
        <w:rPr>
          <w:szCs w:val="24"/>
        </w:rPr>
      </w:pPr>
      <w:r w:rsidRPr="00801C14">
        <w:rPr>
          <w:szCs w:val="24"/>
        </w:rPr>
        <w:t>Bezúplatný převod nemovité věci na adrese Zborovská 40 včetně související vodovodní a kanalizační přípojky bude realizován po jeho schválení v Zastupitelstvu Plzeňského kraje.</w:t>
      </w:r>
    </w:p>
    <w:p w:rsidR="00A25287" w:rsidRPr="00801C14" w:rsidRDefault="00A25287" w:rsidP="00A25287">
      <w:pPr>
        <w:jc w:val="both"/>
      </w:pPr>
    </w:p>
    <w:p w:rsidR="00A25287" w:rsidRDefault="00A25287" w:rsidP="00A25287">
      <w:pPr>
        <w:jc w:val="both"/>
        <w:rPr>
          <w:rFonts w:eastAsia="Calibri"/>
          <w:szCs w:val="24"/>
          <w:lang w:eastAsia="en-US"/>
        </w:rPr>
      </w:pPr>
      <w:r w:rsidRPr="00801C14">
        <w:t xml:space="preserve">2. KNM RMP doporučuje RMP schválit dohodu o ukončení smlouvy o výpůjčce č. HOSP/2460/99/Mach ze dne 21. 12. 2001 se Západočeským muzeem v Plzni, p. o., </w:t>
      </w:r>
      <w:r w:rsidRPr="00801C14">
        <w:br/>
        <w:t>IČ 00228745, ke dni právních účinků</w:t>
      </w:r>
      <w:r w:rsidRPr="00801C14">
        <w:rPr>
          <w:rFonts w:eastAsia="Calibri"/>
          <w:szCs w:val="24"/>
          <w:lang w:eastAsia="en-US"/>
        </w:rPr>
        <w:t xml:space="preserve"> vkladu vlastnického práva předmětu výpůjčky do katastru nemovitostí.</w:t>
      </w:r>
    </w:p>
    <w:p w:rsidR="00A25287" w:rsidRPr="00801C14" w:rsidRDefault="00A25287" w:rsidP="00A25287">
      <w:pPr>
        <w:jc w:val="both"/>
        <w:rPr>
          <w:rFonts w:eastAsia="Calibri"/>
          <w:szCs w:val="24"/>
          <w:lang w:eastAsia="en-US"/>
        </w:rPr>
      </w:pPr>
    </w:p>
    <w:p w:rsidR="00A25287" w:rsidRPr="009638AE" w:rsidRDefault="00A25287" w:rsidP="00A25287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sz w:val="22"/>
          <w:szCs w:val="22"/>
        </w:rPr>
      </w:pPr>
      <w:r w:rsidRPr="009638AE">
        <w:rPr>
          <w:sz w:val="22"/>
          <w:szCs w:val="22"/>
        </w:rPr>
        <w:t>souhlasí</w:t>
      </w:r>
      <w:r>
        <w:rPr>
          <w:sz w:val="22"/>
          <w:szCs w:val="22"/>
        </w:rPr>
        <w:t xml:space="preserve"> 9</w:t>
      </w:r>
    </w:p>
    <w:p w:rsidR="00A25287" w:rsidRPr="009638AE" w:rsidRDefault="00A25287" w:rsidP="00A25287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sz w:val="22"/>
          <w:szCs w:val="22"/>
        </w:rPr>
      </w:pPr>
      <w:r w:rsidRPr="009638AE">
        <w:rPr>
          <w:sz w:val="22"/>
          <w:szCs w:val="22"/>
        </w:rPr>
        <w:t>zdržel se</w:t>
      </w:r>
      <w:r>
        <w:rPr>
          <w:sz w:val="22"/>
          <w:szCs w:val="22"/>
        </w:rPr>
        <w:t xml:space="preserve"> 4</w:t>
      </w:r>
    </w:p>
    <w:p w:rsidR="00905E92" w:rsidRDefault="00905E92"/>
    <w:sectPr w:rsidR="00905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87ABC"/>
    <w:multiLevelType w:val="hybridMultilevel"/>
    <w:tmpl w:val="8B78EE5A"/>
    <w:lvl w:ilvl="0" w:tplc="5902FAA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F84C5A"/>
    <w:multiLevelType w:val="hybridMultilevel"/>
    <w:tmpl w:val="76F2847E"/>
    <w:lvl w:ilvl="0" w:tplc="36DAC5B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4F2087"/>
    <w:multiLevelType w:val="hybridMultilevel"/>
    <w:tmpl w:val="584A75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287"/>
    <w:rsid w:val="000E4734"/>
    <w:rsid w:val="005E5ECB"/>
    <w:rsid w:val="005F511F"/>
    <w:rsid w:val="007A51E8"/>
    <w:rsid w:val="00905E92"/>
    <w:rsid w:val="00A25287"/>
    <w:rsid w:val="00AF3B02"/>
    <w:rsid w:val="00C8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52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51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52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5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588</Words>
  <Characters>3470</Characters>
  <Application>Microsoft Office Word</Application>
  <DocSecurity>0</DocSecurity>
  <Lines>28</Lines>
  <Paragraphs>8</Paragraphs>
  <ScaleCrop>false</ScaleCrop>
  <Company>.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Machová Jitka</dc:creator>
  <cp:lastModifiedBy>Machová Jitka</cp:lastModifiedBy>
  <cp:revision>7</cp:revision>
  <dcterms:created xsi:type="dcterms:W3CDTF">2015-05-19T11:31:00Z</dcterms:created>
  <dcterms:modified xsi:type="dcterms:W3CDTF">2015-06-02T06:55:00Z</dcterms:modified>
</cp:coreProperties>
</file>