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898"/>
        <w:gridCol w:w="2815"/>
        <w:gridCol w:w="1862"/>
      </w:tblGrid>
      <w:tr w:rsidR="008F768C" w:rsidTr="0009160D">
        <w:tc>
          <w:tcPr>
            <w:tcW w:w="3898" w:type="dxa"/>
            <w:hideMark/>
          </w:tcPr>
          <w:p w:rsidR="008F768C" w:rsidRDefault="008F768C" w:rsidP="0009160D">
            <w:pPr>
              <w:ind w:firstLine="0"/>
              <w:rPr>
                <w:b/>
                <w:sz w:val="24"/>
                <w:lang w:eastAsia="en-US"/>
              </w:rPr>
            </w:pPr>
            <w:bookmarkStart w:id="0" w:name="Text1" w:colFirst="0" w:colLast="0"/>
            <w:bookmarkStart w:id="1" w:name="Text5" w:colFirst="0" w:colLast="0"/>
            <w:bookmarkStart w:id="2" w:name="Text2" w:colFirst="0" w:colLast="1"/>
            <w:r>
              <w:rPr>
                <w:b/>
                <w:sz w:val="24"/>
                <w:lang w:eastAsia="en-US"/>
              </w:rPr>
              <w:t>Zastupitelstvo města Plzně dne:</w:t>
            </w:r>
          </w:p>
        </w:tc>
        <w:tc>
          <w:tcPr>
            <w:tcW w:w="2815" w:type="dxa"/>
            <w:hideMark/>
          </w:tcPr>
          <w:p w:rsidR="008F768C" w:rsidRDefault="008F768C" w:rsidP="0009160D">
            <w:pPr>
              <w:pStyle w:val="Zpat"/>
              <w:tabs>
                <w:tab w:val="left" w:pos="708"/>
              </w:tabs>
              <w:ind w:firstLine="20"/>
              <w:rPr>
                <w:b/>
                <w:sz w:val="24"/>
                <w:lang w:eastAsia="en-US"/>
              </w:rPr>
            </w:pPr>
            <w:r>
              <w:rPr>
                <w:b/>
                <w:sz w:val="24"/>
                <w:lang w:eastAsia="en-US"/>
              </w:rPr>
              <w:t>3. 9. 2015</w:t>
            </w:r>
          </w:p>
        </w:tc>
        <w:tc>
          <w:tcPr>
            <w:tcW w:w="1862" w:type="dxa"/>
            <w:hideMark/>
          </w:tcPr>
          <w:p w:rsidR="008F768C" w:rsidRDefault="008F768C" w:rsidP="0009160D">
            <w:pPr>
              <w:ind w:firstLine="0"/>
              <w:jc w:val="right"/>
              <w:rPr>
                <w:b/>
                <w:sz w:val="24"/>
                <w:lang w:eastAsia="en-US"/>
              </w:rPr>
            </w:pPr>
            <w:r>
              <w:rPr>
                <w:b/>
                <w:sz w:val="24"/>
                <w:lang w:eastAsia="en-US"/>
              </w:rPr>
              <w:t>MAJ/</w:t>
            </w:r>
            <w:r w:rsidR="002E458F">
              <w:rPr>
                <w:b/>
                <w:sz w:val="24"/>
                <w:lang w:eastAsia="en-US"/>
              </w:rPr>
              <w:t>16</w:t>
            </w:r>
            <w:bookmarkStart w:id="3" w:name="_GoBack"/>
            <w:bookmarkEnd w:id="3"/>
          </w:p>
        </w:tc>
      </w:tr>
      <w:bookmarkEnd w:id="0"/>
      <w:bookmarkEnd w:id="1"/>
      <w:bookmarkEnd w:id="2"/>
    </w:tbl>
    <w:p w:rsidR="008F768C" w:rsidRDefault="008F768C" w:rsidP="008F768C">
      <w:pPr>
        <w:pStyle w:val="vlevo"/>
      </w:pPr>
    </w:p>
    <w:p w:rsidR="008F768C" w:rsidRDefault="008F768C" w:rsidP="008F768C">
      <w:pPr>
        <w:pStyle w:val="vlevo"/>
      </w:pPr>
    </w:p>
    <w:p w:rsidR="008F768C" w:rsidRDefault="008F768C" w:rsidP="008F768C">
      <w:pPr>
        <w:pStyle w:val="nadpcent"/>
      </w:pPr>
      <w:r>
        <w:rPr>
          <w:lang w:val="cs-CZ"/>
        </w:rPr>
        <w:t>Návrh usnesení</w:t>
      </w:r>
    </w:p>
    <w:tbl>
      <w:tblPr>
        <w:tblW w:w="0" w:type="auto"/>
        <w:tblLayout w:type="fixed"/>
        <w:tblLook w:val="04A0" w:firstRow="1" w:lastRow="0" w:firstColumn="1" w:lastColumn="0" w:noHBand="0" w:noVBand="1"/>
      </w:tblPr>
      <w:tblGrid>
        <w:gridCol w:w="570"/>
        <w:gridCol w:w="3691"/>
        <w:gridCol w:w="1092"/>
        <w:gridCol w:w="3260"/>
      </w:tblGrid>
      <w:tr w:rsidR="008F768C" w:rsidTr="0009160D">
        <w:tc>
          <w:tcPr>
            <w:tcW w:w="570" w:type="dxa"/>
            <w:hideMark/>
          </w:tcPr>
          <w:p w:rsidR="008F768C" w:rsidRDefault="008F768C" w:rsidP="0009160D">
            <w:pPr>
              <w:pStyle w:val="vlevo"/>
              <w:rPr>
                <w:lang w:eastAsia="en-US"/>
              </w:rPr>
            </w:pPr>
            <w:r>
              <w:rPr>
                <w:lang w:eastAsia="en-US"/>
              </w:rPr>
              <w:t>Č.:</w:t>
            </w:r>
          </w:p>
        </w:tc>
        <w:tc>
          <w:tcPr>
            <w:tcW w:w="3691" w:type="dxa"/>
            <w:hideMark/>
          </w:tcPr>
          <w:p w:rsidR="008F768C" w:rsidRDefault="008F768C" w:rsidP="0009160D">
            <w:pPr>
              <w:pStyle w:val="vlevo"/>
              <w:rPr>
                <w:lang w:eastAsia="en-US"/>
              </w:rPr>
            </w:pPr>
            <w:r>
              <w:rPr>
                <w:lang w:eastAsia="en-US"/>
              </w:rPr>
              <w:t>……</w:t>
            </w:r>
          </w:p>
        </w:tc>
        <w:tc>
          <w:tcPr>
            <w:tcW w:w="1092" w:type="dxa"/>
            <w:hideMark/>
          </w:tcPr>
          <w:p w:rsidR="008F768C" w:rsidRDefault="008F768C" w:rsidP="0009160D">
            <w:pPr>
              <w:pStyle w:val="vlevo"/>
              <w:rPr>
                <w:lang w:eastAsia="en-US"/>
              </w:rPr>
            </w:pPr>
            <w:r>
              <w:rPr>
                <w:lang w:eastAsia="en-US"/>
              </w:rPr>
              <w:t xml:space="preserve">ze dne : </w:t>
            </w:r>
          </w:p>
        </w:tc>
        <w:tc>
          <w:tcPr>
            <w:tcW w:w="3260" w:type="dxa"/>
            <w:hideMark/>
          </w:tcPr>
          <w:p w:rsidR="008F768C" w:rsidRDefault="008F768C" w:rsidP="0009160D">
            <w:pPr>
              <w:pStyle w:val="vlevo"/>
              <w:rPr>
                <w:lang w:eastAsia="en-US"/>
              </w:rPr>
            </w:pPr>
            <w:r>
              <w:rPr>
                <w:lang w:eastAsia="en-US"/>
              </w:rPr>
              <w:t>3. 9. 2015</w:t>
            </w:r>
          </w:p>
        </w:tc>
      </w:tr>
    </w:tbl>
    <w:p w:rsidR="008F768C" w:rsidRDefault="008F768C" w:rsidP="008F768C">
      <w:pPr>
        <w:pStyle w:val="Paragrafneslovan"/>
      </w:pPr>
    </w:p>
    <w:tbl>
      <w:tblPr>
        <w:tblW w:w="0" w:type="auto"/>
        <w:tblLayout w:type="fixed"/>
        <w:tblLook w:val="04A0" w:firstRow="1" w:lastRow="0" w:firstColumn="1" w:lastColumn="0" w:noHBand="0" w:noVBand="1"/>
      </w:tblPr>
      <w:tblGrid>
        <w:gridCol w:w="1275"/>
        <w:gridCol w:w="7338"/>
      </w:tblGrid>
      <w:tr w:rsidR="008F768C" w:rsidTr="0009160D">
        <w:trPr>
          <w:cantSplit/>
        </w:trPr>
        <w:tc>
          <w:tcPr>
            <w:tcW w:w="1275" w:type="dxa"/>
            <w:hideMark/>
          </w:tcPr>
          <w:p w:rsidR="008F768C" w:rsidRDefault="008F768C" w:rsidP="0009160D">
            <w:pPr>
              <w:pStyle w:val="vlevo"/>
              <w:rPr>
                <w:lang w:eastAsia="en-US"/>
              </w:rPr>
            </w:pPr>
            <w:r>
              <w:rPr>
                <w:lang w:eastAsia="en-US"/>
              </w:rPr>
              <w:t>Ve věci:</w:t>
            </w:r>
          </w:p>
        </w:tc>
        <w:tc>
          <w:tcPr>
            <w:tcW w:w="7338" w:type="dxa"/>
            <w:hideMark/>
          </w:tcPr>
          <w:p w:rsidR="008F768C" w:rsidRDefault="008F768C" w:rsidP="0009160D">
            <w:pPr>
              <w:pStyle w:val="vlevo"/>
              <w:rPr>
                <w:lang w:eastAsia="en-US"/>
              </w:rPr>
            </w:pPr>
            <w:r>
              <w:rPr>
                <w:lang w:eastAsia="en-US"/>
              </w:rPr>
              <w:t>Konečné majetkoprávní vypořádání v rámci stavby „Bytový dům, Divadelní ul., Plzeň“ – investor Terra Estates, s.r.o.</w:t>
            </w:r>
          </w:p>
        </w:tc>
      </w:tr>
    </w:tbl>
    <w:p w:rsidR="008F768C" w:rsidRDefault="008F768C" w:rsidP="008F768C">
      <w:pPr>
        <w:pStyle w:val="vlevo"/>
      </w:pPr>
      <w:r>
        <w:rPr>
          <w:noProof/>
        </w:rPr>
        <mc:AlternateContent>
          <mc:Choice Requires="wps">
            <w:drawing>
              <wp:anchor distT="0" distB="0" distL="114300" distR="114300" simplePos="0" relativeHeight="251659264" behindDoc="0" locked="0" layoutInCell="0" allowOverlap="1" wp14:anchorId="2C121701" wp14:editId="4D093C55">
                <wp:simplePos x="0" y="0"/>
                <wp:positionH relativeFrom="column">
                  <wp:posOffset>-45720</wp:posOffset>
                </wp:positionH>
                <wp:positionV relativeFrom="paragraph">
                  <wp:posOffset>152400</wp:posOffset>
                </wp:positionV>
                <wp:extent cx="5303520" cy="0"/>
                <wp:effectExtent l="0" t="0" r="1143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8F768C" w:rsidRDefault="008F768C" w:rsidP="008F768C">
      <w:pPr>
        <w:pStyle w:val="vlevo"/>
      </w:pPr>
    </w:p>
    <w:p w:rsidR="008F768C" w:rsidRDefault="008F768C" w:rsidP="008F768C">
      <w:pPr>
        <w:pStyle w:val="vlevot"/>
      </w:pPr>
      <w:r>
        <w:t>Zastupitelstvo města Plzně</w:t>
      </w:r>
    </w:p>
    <w:p w:rsidR="008F768C" w:rsidRDefault="008F768C" w:rsidP="008F768C">
      <w:pPr>
        <w:pStyle w:val="vlevo"/>
      </w:pPr>
      <w:r>
        <w:t>k návrhu Rady města Plzně</w:t>
      </w:r>
    </w:p>
    <w:p w:rsidR="008F768C" w:rsidRDefault="008F768C" w:rsidP="008F768C">
      <w:pPr>
        <w:pStyle w:val="vlevo"/>
      </w:pPr>
    </w:p>
    <w:p w:rsidR="008F768C" w:rsidRDefault="008F768C" w:rsidP="008F768C">
      <w:pPr>
        <w:pStyle w:val="parzahl"/>
      </w:pPr>
      <w:r>
        <w:t>B e r e   n a   v ě d o m í</w:t>
      </w:r>
    </w:p>
    <w:p w:rsidR="008F768C" w:rsidRDefault="008F768C" w:rsidP="008F768C">
      <w:pPr>
        <w:pStyle w:val="Paragrafneslovan"/>
      </w:pPr>
    </w:p>
    <w:p w:rsidR="008F768C" w:rsidRPr="002F08A4" w:rsidRDefault="008F768C" w:rsidP="008F768C">
      <w:pPr>
        <w:pStyle w:val="Paragrafneslovan"/>
        <w:numPr>
          <w:ilvl w:val="0"/>
          <w:numId w:val="2"/>
        </w:numPr>
        <w:rPr>
          <w:szCs w:val="24"/>
        </w:rPr>
      </w:pPr>
      <w:r w:rsidRPr="002F08A4">
        <w:rPr>
          <w:szCs w:val="24"/>
        </w:rPr>
        <w:t>Uzavřené smlouvy o smlouvách budoucích kupních č. 2011/000060 a č. 2011/000061 mezi městem Plzní a spol. Terra Estates, s.r.o. na základě usnesení ZMP č. 594/2010 a dodatky č. 1 k uvedeným budoucím smlouvám na základě usnesení ZMP č. 146/2014.</w:t>
      </w:r>
    </w:p>
    <w:p w:rsidR="008F768C" w:rsidRPr="002F08A4" w:rsidRDefault="008F768C" w:rsidP="008F768C">
      <w:pPr>
        <w:pStyle w:val="Paragrafneslovan"/>
        <w:numPr>
          <w:ilvl w:val="0"/>
          <w:numId w:val="2"/>
        </w:numPr>
        <w:rPr>
          <w:szCs w:val="24"/>
        </w:rPr>
      </w:pPr>
      <w:r w:rsidRPr="002F08A4">
        <w:rPr>
          <w:szCs w:val="24"/>
        </w:rPr>
        <w:t>Skutečnost, že převod některých pozemků vstupujících do směny bude osvobozen od DPH ve smyslu § 56 zákona č. 235/2004 Sb., ve znění pozdějších předpisů.</w:t>
      </w:r>
    </w:p>
    <w:p w:rsidR="008F768C" w:rsidRPr="002F08A4" w:rsidRDefault="008F768C" w:rsidP="008F768C">
      <w:pPr>
        <w:pStyle w:val="Paragrafneslovan"/>
        <w:numPr>
          <w:ilvl w:val="0"/>
          <w:numId w:val="2"/>
        </w:numPr>
        <w:rPr>
          <w:szCs w:val="24"/>
        </w:rPr>
      </w:pPr>
      <w:r w:rsidRPr="002F08A4">
        <w:rPr>
          <w:bCs/>
          <w:szCs w:val="24"/>
        </w:rPr>
        <w:t>Skutečnost, že na převáděných pozemcích</w:t>
      </w:r>
      <w:r w:rsidRPr="002F08A4">
        <w:rPr>
          <w:szCs w:val="24"/>
        </w:rPr>
        <w:t xml:space="preserve"> parc. č. 10158/2 a parc.č. 10158/3, k.ú. Plzeň, vázne zástavní právo smluvní ve prospěch ČSOB, a.s. Předmětné pozemky budou před podpisem kupních smluv prosty zástavních práv.</w:t>
      </w:r>
    </w:p>
    <w:p w:rsidR="008F768C" w:rsidRDefault="008F768C" w:rsidP="008F768C">
      <w:pPr>
        <w:pStyle w:val="Odstavecseseznamem"/>
        <w:numPr>
          <w:ilvl w:val="0"/>
          <w:numId w:val="2"/>
        </w:numPr>
        <w:jc w:val="both"/>
      </w:pPr>
      <w:r w:rsidRPr="002F08A4">
        <w:rPr>
          <w:sz w:val="24"/>
          <w:szCs w:val="24"/>
        </w:rPr>
        <w:t xml:space="preserve">Skutečnost, že převáděný pozemek parc.č. 10158/3, k.ú. Plzeň, je zatížen věcnými břemeny ve prospěch společností </w:t>
      </w:r>
      <w:r w:rsidR="00CA3A5B">
        <w:rPr>
          <w:sz w:val="24"/>
          <w:szCs w:val="24"/>
        </w:rPr>
        <w:t>Česká telekomunikační infrastruktura a.s.</w:t>
      </w:r>
      <w:r w:rsidRPr="002F08A4">
        <w:rPr>
          <w:sz w:val="24"/>
          <w:szCs w:val="24"/>
        </w:rPr>
        <w:t xml:space="preserve"> a ČEZ Distribuce, a.s. Věcná břemena přejdou spolu s převodem pozemku na město Plzeň.</w:t>
      </w:r>
    </w:p>
    <w:p w:rsidR="008F768C" w:rsidRDefault="008F768C" w:rsidP="008F768C">
      <w:pPr>
        <w:pStyle w:val="Odstavecseseznamem"/>
        <w:ind w:left="360" w:firstLine="0"/>
      </w:pPr>
    </w:p>
    <w:p w:rsidR="008F768C" w:rsidRDefault="008F768C" w:rsidP="008F768C">
      <w:pPr>
        <w:pStyle w:val="parzahl"/>
      </w:pPr>
      <w:r>
        <w:t>S c h v a l u j e</w:t>
      </w:r>
    </w:p>
    <w:p w:rsidR="008F768C" w:rsidRDefault="008F768C" w:rsidP="008F768C">
      <w:pPr>
        <w:pStyle w:val="vlevo"/>
      </w:pPr>
      <w:r>
        <w:t xml:space="preserve">uzavření níže uvedených smluvních vztahů mezi městem Plzní jako kupujícím a společností </w:t>
      </w:r>
      <w:r>
        <w:rPr>
          <w:szCs w:val="24"/>
        </w:rPr>
        <w:t>Terra Estates, s.r.o., IČ 27565661, se sídlem Karlova 2472/44, Cheb, PSČ 350 02</w:t>
      </w:r>
      <w:r>
        <w:t>, jako prodávajícím:</w:t>
      </w:r>
    </w:p>
    <w:p w:rsidR="008F768C" w:rsidRPr="000F4399" w:rsidRDefault="008F768C" w:rsidP="008F768C">
      <w:pPr>
        <w:pStyle w:val="Paragrafneslovan"/>
      </w:pPr>
    </w:p>
    <w:p w:rsidR="008F768C" w:rsidRDefault="008F768C" w:rsidP="008F768C">
      <w:pPr>
        <w:pStyle w:val="vlevo"/>
        <w:numPr>
          <w:ilvl w:val="0"/>
          <w:numId w:val="3"/>
        </w:numPr>
        <w:tabs>
          <w:tab w:val="clear" w:pos="540"/>
          <w:tab w:val="num" w:pos="284"/>
        </w:tabs>
        <w:ind w:left="284" w:hanging="284"/>
      </w:pPr>
      <w:r>
        <w:t xml:space="preserve">Smlouvy kupní na převod stavby TDI - chodníku - </w:t>
      </w:r>
      <w:r w:rsidRPr="000F4399">
        <w:t xml:space="preserve"> </w:t>
      </w:r>
      <w:r>
        <w:t xml:space="preserve">na pozemcích parc.č. 10158/2 a parc.č. 10158/3, oba k.ú. Plzeň, do majetku města Plzně, který byl vybudován v rámci stavby „Bytový dům, Divadelní ul., Plzeň“, na kterou jsou vydány Úřadem městského obvodu Plzeň 3, odborem výstavby, kolaudační souhlasy č.j.: VÝST/1406/14/Tf ze dne 8. 9. 2014 a č.j.: VÝST/1059/14/Tf ze dne 30. 7. 2014. </w:t>
      </w:r>
    </w:p>
    <w:p w:rsidR="008F768C" w:rsidRDefault="008F768C" w:rsidP="008F768C">
      <w:pPr>
        <w:tabs>
          <w:tab w:val="left" w:pos="284"/>
        </w:tabs>
        <w:ind w:left="284" w:hanging="284"/>
        <w:jc w:val="both"/>
        <w:rPr>
          <w:sz w:val="24"/>
          <w:szCs w:val="24"/>
        </w:rPr>
      </w:pPr>
    </w:p>
    <w:p w:rsidR="008F768C" w:rsidRDefault="008F768C" w:rsidP="008F768C">
      <w:pPr>
        <w:tabs>
          <w:tab w:val="left" w:pos="284"/>
        </w:tabs>
        <w:ind w:left="284" w:firstLine="0"/>
        <w:jc w:val="both"/>
        <w:rPr>
          <w:bCs/>
          <w:sz w:val="24"/>
          <w:szCs w:val="24"/>
        </w:rPr>
      </w:pPr>
      <w:r>
        <w:rPr>
          <w:sz w:val="24"/>
          <w:szCs w:val="24"/>
        </w:rPr>
        <w:t>Výše uvedená TDI</w:t>
      </w:r>
      <w:r w:rsidRPr="00DD77A8">
        <w:rPr>
          <w:sz w:val="24"/>
          <w:szCs w:val="24"/>
        </w:rPr>
        <w:t xml:space="preserve"> se převádí do majetku města za smluvní kupní cenu </w:t>
      </w:r>
      <w:r>
        <w:rPr>
          <w:sz w:val="24"/>
          <w:szCs w:val="24"/>
        </w:rPr>
        <w:t>380 K</w:t>
      </w:r>
      <w:r w:rsidRPr="00DD77A8">
        <w:rPr>
          <w:sz w:val="24"/>
          <w:szCs w:val="24"/>
        </w:rPr>
        <w:t>č</w:t>
      </w:r>
      <w:r>
        <w:rPr>
          <w:sz w:val="24"/>
          <w:szCs w:val="24"/>
        </w:rPr>
        <w:t xml:space="preserve">, která je stanovena jako </w:t>
      </w:r>
      <w:r w:rsidRPr="00DD77A8">
        <w:rPr>
          <w:sz w:val="24"/>
          <w:szCs w:val="24"/>
        </w:rPr>
        <w:t>1 % z pořizovacích nákladů</w:t>
      </w:r>
      <w:r>
        <w:rPr>
          <w:sz w:val="24"/>
          <w:szCs w:val="24"/>
        </w:rPr>
        <w:t xml:space="preserve"> na realizaci stavby TDI</w:t>
      </w:r>
      <w:r w:rsidRPr="00DD77A8">
        <w:rPr>
          <w:sz w:val="24"/>
          <w:szCs w:val="24"/>
        </w:rPr>
        <w:t xml:space="preserve">. </w:t>
      </w:r>
      <w:r w:rsidRPr="00DD77A8">
        <w:rPr>
          <w:bCs/>
          <w:sz w:val="24"/>
          <w:szCs w:val="24"/>
        </w:rPr>
        <w:t>Smluvní kupní cena bude navýšena o DPH v zákonné sazbě.</w:t>
      </w:r>
      <w:r>
        <w:rPr>
          <w:bCs/>
          <w:sz w:val="24"/>
          <w:szCs w:val="24"/>
        </w:rPr>
        <w:t xml:space="preserve"> </w:t>
      </w:r>
    </w:p>
    <w:p w:rsidR="008F768C" w:rsidRDefault="008F768C" w:rsidP="008F768C">
      <w:pPr>
        <w:tabs>
          <w:tab w:val="left" w:pos="284"/>
        </w:tabs>
        <w:ind w:left="284" w:firstLine="0"/>
        <w:jc w:val="both"/>
        <w:rPr>
          <w:bCs/>
          <w:sz w:val="24"/>
          <w:szCs w:val="24"/>
        </w:rPr>
      </w:pPr>
      <w:r>
        <w:rPr>
          <w:bCs/>
          <w:sz w:val="24"/>
          <w:szCs w:val="24"/>
        </w:rPr>
        <w:t>Tato částka bude uhrazena na účet prodávajícího do 30 dnů po doručení daňového dokladu na MAJ MMP, který bude vystaven společností Terra Estates, s.r.o. nejpozději do 15 dnů ode dne podpisu kupní smlouvy.</w:t>
      </w:r>
      <w:r>
        <w:rPr>
          <w:bCs/>
          <w:sz w:val="24"/>
          <w:szCs w:val="24"/>
        </w:rPr>
        <w:tab/>
      </w:r>
    </w:p>
    <w:p w:rsidR="008F768C" w:rsidRPr="007957F3" w:rsidRDefault="008F768C" w:rsidP="008F768C">
      <w:pPr>
        <w:tabs>
          <w:tab w:val="left" w:pos="284"/>
        </w:tabs>
        <w:ind w:left="284" w:firstLine="0"/>
        <w:jc w:val="both"/>
        <w:rPr>
          <w:bCs/>
          <w:sz w:val="24"/>
          <w:szCs w:val="24"/>
        </w:rPr>
      </w:pPr>
      <w:r w:rsidRPr="007957F3">
        <w:rPr>
          <w:bCs/>
          <w:sz w:val="24"/>
          <w:szCs w:val="24"/>
        </w:rPr>
        <w:t>Zdrojem finančního krytí je rozpočet Odboru nabývání majetku MMP.</w:t>
      </w:r>
    </w:p>
    <w:p w:rsidR="008F768C" w:rsidRDefault="008F768C" w:rsidP="008F768C">
      <w:pPr>
        <w:pStyle w:val="Paragrafneslovan"/>
        <w:rPr>
          <w:szCs w:val="24"/>
        </w:rPr>
      </w:pPr>
    </w:p>
    <w:p w:rsidR="008F768C" w:rsidRPr="003D5949" w:rsidRDefault="008F768C" w:rsidP="008F768C">
      <w:pPr>
        <w:pStyle w:val="Paragrafneslovan"/>
        <w:numPr>
          <w:ilvl w:val="0"/>
          <w:numId w:val="3"/>
        </w:numPr>
        <w:rPr>
          <w:szCs w:val="24"/>
        </w:rPr>
      </w:pPr>
      <w:r w:rsidRPr="003D5949">
        <w:rPr>
          <w:szCs w:val="24"/>
        </w:rPr>
        <w:t>Smlouvy kupní na převod pozemků za</w:t>
      </w:r>
      <w:r>
        <w:rPr>
          <w:szCs w:val="24"/>
        </w:rPr>
        <w:t>sažených</w:t>
      </w:r>
      <w:r w:rsidRPr="003D5949">
        <w:rPr>
          <w:szCs w:val="24"/>
        </w:rPr>
        <w:t xml:space="preserve"> stavbou TDI – chodníku - do majetku města Plzně, a to </w:t>
      </w:r>
      <w:r>
        <w:t>parc. č. 10158/2 o výměře 43 m</w:t>
      </w:r>
      <w:r w:rsidRPr="003D5949">
        <w:rPr>
          <w:vertAlign w:val="superscript"/>
        </w:rPr>
        <w:t>2</w:t>
      </w:r>
      <w:r>
        <w:t>, ostatní plocha, ostatní komunikace, k.ú. Plzeň, za smluvní kupní cenu 1 720 Kč (= 40 Kč/m</w:t>
      </w:r>
      <w:r w:rsidRPr="003D5949">
        <w:rPr>
          <w:vertAlign w:val="superscript"/>
        </w:rPr>
        <w:t>2</w:t>
      </w:r>
      <w:r>
        <w:t>) + 21 % DPH (tj. 361 Kč), tj. celkem 2081 Kč, a parc.č. 10158/3 o výměře 23 m</w:t>
      </w:r>
      <w:r w:rsidRPr="003D5949">
        <w:rPr>
          <w:vertAlign w:val="superscript"/>
        </w:rPr>
        <w:t>2</w:t>
      </w:r>
      <w:r>
        <w:t>, ostatní plocha, ostatní komunikace, k.ú. Plzeň</w:t>
      </w:r>
      <w:r w:rsidRPr="003D5949">
        <w:rPr>
          <w:szCs w:val="24"/>
        </w:rPr>
        <w:t xml:space="preserve">, </w:t>
      </w:r>
      <w:r>
        <w:rPr>
          <w:szCs w:val="24"/>
        </w:rPr>
        <w:t>za smluvní kupní cenu 920 </w:t>
      </w:r>
      <w:r w:rsidRPr="003D5949">
        <w:rPr>
          <w:szCs w:val="24"/>
        </w:rPr>
        <w:t>Kč (=</w:t>
      </w:r>
      <w:r>
        <w:rPr>
          <w:szCs w:val="24"/>
        </w:rPr>
        <w:t> 40 </w:t>
      </w:r>
      <w:r w:rsidRPr="003D5949">
        <w:rPr>
          <w:szCs w:val="24"/>
        </w:rPr>
        <w:t>Kč/m</w:t>
      </w:r>
      <w:r w:rsidRPr="003D5949">
        <w:rPr>
          <w:szCs w:val="24"/>
          <w:vertAlign w:val="superscript"/>
        </w:rPr>
        <w:t>2</w:t>
      </w:r>
      <w:r w:rsidRPr="003D5949">
        <w:rPr>
          <w:szCs w:val="24"/>
        </w:rPr>
        <w:t>), který nepodléhá povinnosti platby DPH. C</w:t>
      </w:r>
      <w:r>
        <w:rPr>
          <w:szCs w:val="24"/>
        </w:rPr>
        <w:t>elková smluvní kupní cena 3 001</w:t>
      </w:r>
      <w:r w:rsidRPr="003D5949">
        <w:rPr>
          <w:szCs w:val="24"/>
        </w:rPr>
        <w:t xml:space="preserve"> Kč bude uhrazena z rozpočtu Odboru nabývání majetku MMP na účet prodávajícího do 30 dnů po doručení vyrozumění katastrálního úřadu o provedení vkladu vlastnického práva do katastru nemovitostí.</w:t>
      </w:r>
    </w:p>
    <w:p w:rsidR="008F768C" w:rsidRDefault="008F768C" w:rsidP="008F768C">
      <w:pPr>
        <w:pStyle w:val="Paragrafneslovan"/>
        <w:ind w:left="540"/>
        <w:rPr>
          <w:szCs w:val="24"/>
        </w:rPr>
      </w:pPr>
      <w:r>
        <w:rPr>
          <w:szCs w:val="24"/>
        </w:rPr>
        <w:t>Daň z nabytí nemovitých věcí dle § 41 zákonného opatření Senátu  č. 340/2013  Sb., o dani z nabytí nemovitých věcí, v platném znění, se nestanoví a neplatí, daňové přiznání podá strana prodávající.</w:t>
      </w:r>
    </w:p>
    <w:p w:rsidR="008F768C" w:rsidRDefault="008F768C" w:rsidP="008F768C">
      <w:pPr>
        <w:pStyle w:val="Paragrafneslovan"/>
        <w:ind w:left="567" w:hanging="567"/>
        <w:rPr>
          <w:szCs w:val="24"/>
        </w:rPr>
      </w:pPr>
    </w:p>
    <w:p w:rsidR="008F768C" w:rsidRDefault="008F768C" w:rsidP="008F768C">
      <w:pPr>
        <w:pStyle w:val="vlevo"/>
        <w:ind w:left="284"/>
        <w:rPr>
          <w:szCs w:val="24"/>
        </w:rPr>
      </w:pPr>
      <w:r>
        <w:rPr>
          <w:szCs w:val="24"/>
        </w:rPr>
        <w:t>Kupní smlouvy dle bodu II.1. a II.2. budou uzavřeny souběžně.</w:t>
      </w:r>
    </w:p>
    <w:p w:rsidR="008F768C" w:rsidRDefault="008F768C" w:rsidP="008F768C">
      <w:pPr>
        <w:pStyle w:val="vlevo"/>
        <w:ind w:left="284"/>
        <w:rPr>
          <w:szCs w:val="24"/>
        </w:rPr>
      </w:pPr>
    </w:p>
    <w:p w:rsidR="008F768C" w:rsidRDefault="008F768C" w:rsidP="008F768C">
      <w:pPr>
        <w:pStyle w:val="parzahl"/>
        <w:rPr>
          <w:szCs w:val="24"/>
        </w:rPr>
      </w:pPr>
      <w:r>
        <w:rPr>
          <w:szCs w:val="24"/>
        </w:rPr>
        <w:t>U k l á d á</w:t>
      </w:r>
    </w:p>
    <w:p w:rsidR="008F768C" w:rsidRDefault="008F768C" w:rsidP="008F768C">
      <w:pPr>
        <w:pStyle w:val="Paragrafneslovan"/>
      </w:pPr>
      <w:r>
        <w:t>Radě města Plzně</w:t>
      </w:r>
    </w:p>
    <w:p w:rsidR="008F768C" w:rsidRDefault="008F768C" w:rsidP="008F768C">
      <w:pPr>
        <w:pStyle w:val="Paragrafneslovan"/>
      </w:pPr>
      <w:r>
        <w:t>zajistit realizaci smluvních vztahů dle bodu II. tohoto usnesení.</w:t>
      </w:r>
    </w:p>
    <w:p w:rsidR="008F768C" w:rsidRDefault="008F768C" w:rsidP="008F768C">
      <w:pPr>
        <w:pStyle w:val="Paragrafneslovan"/>
        <w:pBdr>
          <w:bottom w:val="single" w:sz="4" w:space="1" w:color="auto"/>
        </w:pBdr>
      </w:pPr>
      <w:r>
        <w:t>Termín: 28. 2. 2016</w:t>
      </w:r>
    </w:p>
    <w:p w:rsidR="008F768C" w:rsidRDefault="008F768C" w:rsidP="008F768C">
      <w:pPr>
        <w:pStyle w:val="Paragrafneslovan"/>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r>
      <w:r>
        <w:tab/>
      </w:r>
      <w:r>
        <w:tab/>
      </w:r>
      <w:r>
        <w:tab/>
      </w:r>
      <w:r>
        <w:tab/>
        <w:t xml:space="preserve">Zodpovídá: </w:t>
      </w:r>
      <w:r>
        <w:tab/>
        <w:t>H. Matoušová, členka RMP</w:t>
      </w:r>
    </w:p>
    <w:p w:rsidR="008F768C" w:rsidRDefault="008F768C" w:rsidP="008F768C">
      <w:pPr>
        <w:pStyle w:val="Paragrafneslovan"/>
      </w:pPr>
      <w:r>
        <w:tab/>
      </w:r>
      <w:r>
        <w:tab/>
      </w:r>
      <w:r>
        <w:tab/>
      </w:r>
      <w:r>
        <w:tab/>
      </w:r>
      <w:r>
        <w:tab/>
      </w:r>
      <w:r>
        <w:tab/>
      </w:r>
      <w:r>
        <w:tab/>
      </w:r>
      <w:r>
        <w:tab/>
      </w:r>
      <w:r>
        <w:tab/>
        <w:t>Ing. Hasmanová</w:t>
      </w:r>
    </w:p>
    <w:p w:rsidR="008F768C" w:rsidRDefault="008F768C" w:rsidP="008F768C">
      <w:pPr>
        <w:pStyle w:val="Paragrafneslovan"/>
      </w:pPr>
    </w:p>
    <w:p w:rsidR="008F768C" w:rsidRDefault="008F768C" w:rsidP="008F768C">
      <w:pPr>
        <w:pStyle w:val="Paragrafneslovan"/>
      </w:pPr>
    </w:p>
    <w:p w:rsidR="008F768C" w:rsidRDefault="008F768C" w:rsidP="008F768C">
      <w:pPr>
        <w:pStyle w:val="Paragrafneslovan"/>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5"/>
        <w:gridCol w:w="2550"/>
      </w:tblGrid>
      <w:tr w:rsidR="008F768C" w:rsidTr="0009160D">
        <w:tc>
          <w:tcPr>
            <w:tcW w:w="3261" w:type="dxa"/>
            <w:tcBorders>
              <w:top w:val="nil"/>
              <w:left w:val="nil"/>
              <w:bottom w:val="nil"/>
              <w:right w:val="nil"/>
            </w:tcBorders>
            <w:hideMark/>
          </w:tcPr>
          <w:p w:rsidR="008F768C" w:rsidRDefault="008F768C" w:rsidP="0009160D">
            <w:pPr>
              <w:pStyle w:val="Paragrafneslovan"/>
              <w:rPr>
                <w:lang w:eastAsia="en-US"/>
              </w:rPr>
            </w:pPr>
            <w:bookmarkStart w:id="4" w:name="Text6" w:colFirst="0" w:colLast="0"/>
            <w:bookmarkStart w:id="5" w:name="Text9" w:colFirst="0" w:colLast="0"/>
            <w:r>
              <w:rPr>
                <w:lang w:eastAsia="en-US"/>
              </w:rPr>
              <w:t>Zprávu předkládá:</w:t>
            </w:r>
          </w:p>
        </w:tc>
        <w:tc>
          <w:tcPr>
            <w:tcW w:w="3686" w:type="dxa"/>
            <w:tcBorders>
              <w:top w:val="nil"/>
              <w:left w:val="nil"/>
              <w:bottom w:val="nil"/>
              <w:right w:val="nil"/>
            </w:tcBorders>
            <w:hideMark/>
          </w:tcPr>
          <w:p w:rsidR="008F768C" w:rsidRDefault="008F768C" w:rsidP="0009160D">
            <w:pPr>
              <w:pStyle w:val="Paragrafneslovan"/>
              <w:rPr>
                <w:lang w:eastAsia="en-US"/>
              </w:rPr>
            </w:pPr>
            <w:r>
              <w:rPr>
                <w:lang w:eastAsia="en-US"/>
              </w:rPr>
              <w:t>H. Matoušová, členka RMP</w:t>
            </w:r>
          </w:p>
        </w:tc>
        <w:tc>
          <w:tcPr>
            <w:tcW w:w="2551" w:type="dxa"/>
            <w:tcBorders>
              <w:top w:val="nil"/>
              <w:left w:val="nil"/>
              <w:bottom w:val="nil"/>
              <w:right w:val="nil"/>
            </w:tcBorders>
          </w:tcPr>
          <w:p w:rsidR="008F768C" w:rsidRDefault="008F768C" w:rsidP="0009160D">
            <w:pPr>
              <w:pStyle w:val="Paragrafneslovan"/>
              <w:rPr>
                <w:lang w:eastAsia="en-US"/>
              </w:rPr>
            </w:pPr>
          </w:p>
        </w:tc>
      </w:tr>
      <w:bookmarkEnd w:id="4"/>
      <w:bookmarkEnd w:id="5"/>
      <w:tr w:rsidR="008F768C" w:rsidTr="0009160D">
        <w:tc>
          <w:tcPr>
            <w:tcW w:w="3261" w:type="dxa"/>
            <w:tcBorders>
              <w:top w:val="nil"/>
              <w:left w:val="nil"/>
              <w:bottom w:val="nil"/>
              <w:right w:val="nil"/>
            </w:tcBorders>
            <w:hideMark/>
          </w:tcPr>
          <w:p w:rsidR="008F768C" w:rsidRDefault="008F768C" w:rsidP="0009160D">
            <w:pPr>
              <w:pStyle w:val="Paragrafneslovan"/>
              <w:rPr>
                <w:lang w:eastAsia="en-US"/>
              </w:rPr>
            </w:pPr>
            <w:r>
              <w:rPr>
                <w:lang w:eastAsia="en-US"/>
              </w:rPr>
              <w:t>Zprávu zpracoval dne:</w:t>
            </w:r>
          </w:p>
        </w:tc>
        <w:tc>
          <w:tcPr>
            <w:tcW w:w="3686" w:type="dxa"/>
            <w:tcBorders>
              <w:top w:val="nil"/>
              <w:left w:val="nil"/>
              <w:bottom w:val="nil"/>
              <w:right w:val="nil"/>
            </w:tcBorders>
            <w:hideMark/>
          </w:tcPr>
          <w:p w:rsidR="008F768C" w:rsidRDefault="008F768C" w:rsidP="008F768C">
            <w:pPr>
              <w:pStyle w:val="Paragrafneslovan"/>
              <w:rPr>
                <w:lang w:eastAsia="en-US"/>
              </w:rPr>
            </w:pPr>
            <w:r>
              <w:rPr>
                <w:lang w:eastAsia="en-US"/>
              </w:rPr>
              <w:t>18. 8. 2015</w:t>
            </w:r>
          </w:p>
        </w:tc>
        <w:tc>
          <w:tcPr>
            <w:tcW w:w="2551" w:type="dxa"/>
            <w:tcBorders>
              <w:top w:val="nil"/>
              <w:left w:val="nil"/>
              <w:bottom w:val="nil"/>
              <w:right w:val="nil"/>
            </w:tcBorders>
            <w:hideMark/>
          </w:tcPr>
          <w:p w:rsidR="008F768C" w:rsidRDefault="008F768C" w:rsidP="0009160D">
            <w:pPr>
              <w:pStyle w:val="Paragrafneslovan"/>
              <w:rPr>
                <w:lang w:eastAsia="en-US"/>
              </w:rPr>
            </w:pPr>
            <w:r>
              <w:rPr>
                <w:lang w:eastAsia="en-US"/>
              </w:rPr>
              <w:t>A. Štichová, MAJ MMP</w:t>
            </w:r>
          </w:p>
        </w:tc>
      </w:tr>
      <w:tr w:rsidR="008F768C" w:rsidTr="0009160D">
        <w:tc>
          <w:tcPr>
            <w:tcW w:w="3261" w:type="dxa"/>
            <w:tcBorders>
              <w:top w:val="nil"/>
              <w:left w:val="nil"/>
              <w:bottom w:val="nil"/>
              <w:right w:val="nil"/>
            </w:tcBorders>
            <w:hideMark/>
          </w:tcPr>
          <w:p w:rsidR="008F768C" w:rsidRDefault="008F768C" w:rsidP="0009160D">
            <w:pPr>
              <w:pStyle w:val="Paragrafneslovan"/>
              <w:rPr>
                <w:lang w:eastAsia="en-US"/>
              </w:rPr>
            </w:pPr>
            <w:r>
              <w:rPr>
                <w:lang w:eastAsia="en-US"/>
              </w:rPr>
              <w:t>Schůze ZMP se zúčastní:</w:t>
            </w:r>
          </w:p>
        </w:tc>
        <w:tc>
          <w:tcPr>
            <w:tcW w:w="3686" w:type="dxa"/>
            <w:tcBorders>
              <w:top w:val="nil"/>
              <w:left w:val="nil"/>
              <w:bottom w:val="nil"/>
              <w:right w:val="nil"/>
            </w:tcBorders>
            <w:hideMark/>
          </w:tcPr>
          <w:p w:rsidR="008F768C" w:rsidRDefault="008F768C" w:rsidP="0009160D">
            <w:pPr>
              <w:pStyle w:val="Paragrafneslovan"/>
              <w:rPr>
                <w:lang w:eastAsia="en-US"/>
              </w:rPr>
            </w:pPr>
            <w:r>
              <w:rPr>
                <w:lang w:eastAsia="en-US"/>
              </w:rPr>
              <w:t>Ing. Hasmanová, VO MAJ MMP</w:t>
            </w:r>
          </w:p>
        </w:tc>
        <w:tc>
          <w:tcPr>
            <w:tcW w:w="2551" w:type="dxa"/>
            <w:tcBorders>
              <w:top w:val="nil"/>
              <w:left w:val="nil"/>
              <w:bottom w:val="nil"/>
              <w:right w:val="nil"/>
            </w:tcBorders>
          </w:tcPr>
          <w:p w:rsidR="008F768C" w:rsidRDefault="008F768C" w:rsidP="0009160D">
            <w:pPr>
              <w:pStyle w:val="Paragrafneslovan"/>
              <w:rPr>
                <w:lang w:eastAsia="en-US"/>
              </w:rPr>
            </w:pPr>
          </w:p>
        </w:tc>
      </w:tr>
      <w:tr w:rsidR="008F768C" w:rsidTr="0009160D">
        <w:tc>
          <w:tcPr>
            <w:tcW w:w="3261" w:type="dxa"/>
            <w:tcBorders>
              <w:top w:val="nil"/>
              <w:left w:val="nil"/>
              <w:bottom w:val="nil"/>
              <w:right w:val="nil"/>
            </w:tcBorders>
            <w:hideMark/>
          </w:tcPr>
          <w:p w:rsidR="008F768C" w:rsidRDefault="008F768C" w:rsidP="0009160D">
            <w:pPr>
              <w:pStyle w:val="Paragrafneslovan"/>
              <w:rPr>
                <w:lang w:eastAsia="en-US"/>
              </w:rPr>
            </w:pPr>
            <w:r>
              <w:rPr>
                <w:lang w:eastAsia="en-US"/>
              </w:rPr>
              <w:t>Obsah zprávy projednán s:</w:t>
            </w:r>
          </w:p>
        </w:tc>
        <w:tc>
          <w:tcPr>
            <w:tcW w:w="3686" w:type="dxa"/>
            <w:tcBorders>
              <w:top w:val="nil"/>
              <w:left w:val="nil"/>
              <w:bottom w:val="nil"/>
              <w:right w:val="nil"/>
            </w:tcBorders>
            <w:hideMark/>
          </w:tcPr>
          <w:p w:rsidR="008F768C" w:rsidRDefault="008F768C" w:rsidP="0009160D">
            <w:pPr>
              <w:pStyle w:val="Paragrafneslovan"/>
              <w:rPr>
                <w:lang w:eastAsia="en-US"/>
              </w:rPr>
            </w:pPr>
            <w:r>
              <w:rPr>
                <w:lang w:eastAsia="en-US"/>
              </w:rPr>
              <w:t>Ing. Kuglerovou, ŘEÚ</w:t>
            </w:r>
          </w:p>
        </w:tc>
        <w:tc>
          <w:tcPr>
            <w:tcW w:w="2551" w:type="dxa"/>
            <w:tcBorders>
              <w:top w:val="nil"/>
              <w:left w:val="nil"/>
              <w:bottom w:val="nil"/>
              <w:right w:val="nil"/>
            </w:tcBorders>
            <w:hideMark/>
          </w:tcPr>
          <w:p w:rsidR="008F768C" w:rsidRDefault="008F768C" w:rsidP="002E458F">
            <w:pPr>
              <w:pStyle w:val="Paragrafneslovan"/>
              <w:rPr>
                <w:lang w:eastAsia="en-US"/>
              </w:rPr>
            </w:pPr>
            <w:r>
              <w:rPr>
                <w:lang w:eastAsia="en-US"/>
              </w:rPr>
              <w:t xml:space="preserve">souhlasí   </w:t>
            </w:r>
          </w:p>
        </w:tc>
      </w:tr>
      <w:tr w:rsidR="008F768C" w:rsidTr="0009160D">
        <w:tc>
          <w:tcPr>
            <w:tcW w:w="3261" w:type="dxa"/>
            <w:tcBorders>
              <w:top w:val="nil"/>
              <w:left w:val="nil"/>
              <w:bottom w:val="nil"/>
              <w:right w:val="nil"/>
            </w:tcBorders>
            <w:hideMark/>
          </w:tcPr>
          <w:p w:rsidR="008F768C" w:rsidRDefault="008F768C" w:rsidP="0009160D">
            <w:pPr>
              <w:pStyle w:val="Paragrafneslovan"/>
              <w:rPr>
                <w:lang w:eastAsia="en-US"/>
              </w:rPr>
            </w:pPr>
            <w:r>
              <w:rPr>
                <w:lang w:eastAsia="en-US"/>
              </w:rPr>
              <w:t>Zveřejněno na úřední desce:</w:t>
            </w:r>
          </w:p>
        </w:tc>
        <w:tc>
          <w:tcPr>
            <w:tcW w:w="3686" w:type="dxa"/>
            <w:tcBorders>
              <w:top w:val="nil"/>
              <w:left w:val="nil"/>
              <w:bottom w:val="nil"/>
              <w:right w:val="nil"/>
            </w:tcBorders>
            <w:hideMark/>
          </w:tcPr>
          <w:p w:rsidR="008F768C" w:rsidRDefault="008F768C" w:rsidP="0009160D">
            <w:pPr>
              <w:pStyle w:val="Paragrafneslovan"/>
              <w:rPr>
                <w:lang w:eastAsia="en-US"/>
              </w:rPr>
            </w:pPr>
            <w:r>
              <w:rPr>
                <w:lang w:eastAsia="en-US"/>
              </w:rPr>
              <w:t>nepodléhá zveřejnění</w:t>
            </w:r>
          </w:p>
        </w:tc>
        <w:tc>
          <w:tcPr>
            <w:tcW w:w="2551" w:type="dxa"/>
            <w:tcBorders>
              <w:top w:val="nil"/>
              <w:left w:val="nil"/>
              <w:bottom w:val="nil"/>
              <w:right w:val="nil"/>
            </w:tcBorders>
          </w:tcPr>
          <w:p w:rsidR="008F768C" w:rsidRDefault="008F768C" w:rsidP="0009160D">
            <w:pPr>
              <w:pStyle w:val="Paragrafneslovan"/>
              <w:rPr>
                <w:lang w:eastAsia="en-US"/>
              </w:rPr>
            </w:pPr>
          </w:p>
        </w:tc>
      </w:tr>
      <w:tr w:rsidR="008F768C" w:rsidTr="0009160D">
        <w:tc>
          <w:tcPr>
            <w:tcW w:w="3261" w:type="dxa"/>
            <w:tcBorders>
              <w:top w:val="nil"/>
              <w:left w:val="nil"/>
              <w:bottom w:val="nil"/>
              <w:right w:val="nil"/>
            </w:tcBorders>
            <w:hideMark/>
          </w:tcPr>
          <w:p w:rsidR="008F768C" w:rsidRDefault="008F768C" w:rsidP="0009160D">
            <w:pPr>
              <w:pStyle w:val="Paragrafneslovan"/>
              <w:rPr>
                <w:lang w:eastAsia="en-US"/>
              </w:rPr>
            </w:pPr>
            <w:r>
              <w:rPr>
                <w:lang w:eastAsia="en-US"/>
              </w:rPr>
              <w:t>Projednáno v RMP:</w:t>
            </w:r>
          </w:p>
        </w:tc>
        <w:tc>
          <w:tcPr>
            <w:tcW w:w="3686" w:type="dxa"/>
            <w:tcBorders>
              <w:top w:val="nil"/>
              <w:left w:val="nil"/>
              <w:bottom w:val="nil"/>
              <w:right w:val="nil"/>
            </w:tcBorders>
            <w:hideMark/>
          </w:tcPr>
          <w:p w:rsidR="008F768C" w:rsidRDefault="008F768C" w:rsidP="008F768C">
            <w:pPr>
              <w:pStyle w:val="Paragrafneslovan"/>
              <w:rPr>
                <w:lang w:eastAsia="en-US"/>
              </w:rPr>
            </w:pPr>
            <w:r>
              <w:rPr>
                <w:lang w:eastAsia="en-US"/>
              </w:rPr>
              <w:t>dne 13. 8. 2015</w:t>
            </w:r>
          </w:p>
        </w:tc>
        <w:tc>
          <w:tcPr>
            <w:tcW w:w="2551" w:type="dxa"/>
            <w:tcBorders>
              <w:top w:val="nil"/>
              <w:left w:val="nil"/>
              <w:bottom w:val="nil"/>
              <w:right w:val="nil"/>
            </w:tcBorders>
            <w:hideMark/>
          </w:tcPr>
          <w:p w:rsidR="008F768C" w:rsidRDefault="008F768C" w:rsidP="008F768C">
            <w:pPr>
              <w:pStyle w:val="Paragrafneslovan"/>
              <w:rPr>
                <w:lang w:eastAsia="en-US"/>
              </w:rPr>
            </w:pPr>
            <w:r>
              <w:rPr>
                <w:lang w:eastAsia="en-US"/>
              </w:rPr>
              <w:t xml:space="preserve">č. usnesení: </w:t>
            </w:r>
            <w:r w:rsidR="000F2E61">
              <w:rPr>
                <w:lang w:eastAsia="en-US"/>
              </w:rPr>
              <w:t>850</w:t>
            </w:r>
          </w:p>
        </w:tc>
      </w:tr>
    </w:tbl>
    <w:p w:rsidR="008F768C" w:rsidRDefault="008F768C" w:rsidP="008F768C">
      <w:pPr>
        <w:rPr>
          <w:sz w:val="24"/>
          <w:szCs w:val="24"/>
        </w:rPr>
      </w:pPr>
    </w:p>
    <w:p w:rsidR="008F768C" w:rsidRDefault="008F768C" w:rsidP="008F768C"/>
    <w:p w:rsidR="005A33BB" w:rsidRDefault="005A33BB"/>
    <w:sectPr w:rsidR="005A3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9A4"/>
    <w:multiLevelType w:val="hybridMultilevel"/>
    <w:tmpl w:val="144AA570"/>
    <w:lvl w:ilvl="0" w:tplc="0405000F">
      <w:start w:val="1"/>
      <w:numFmt w:val="decimal"/>
      <w:lvlText w:val="%1."/>
      <w:lvlJc w:val="left"/>
      <w:pPr>
        <w:tabs>
          <w:tab w:val="num" w:pos="540"/>
        </w:tabs>
        <w:ind w:left="54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71E1199E"/>
    <w:multiLevelType w:val="hybridMultilevel"/>
    <w:tmpl w:val="D9181AA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8C"/>
    <w:rsid w:val="000F2E61"/>
    <w:rsid w:val="002E458F"/>
    <w:rsid w:val="005A33BB"/>
    <w:rsid w:val="008F768C"/>
    <w:rsid w:val="00CA3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68C"/>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8F768C"/>
    <w:pPr>
      <w:tabs>
        <w:tab w:val="center" w:pos="4153"/>
        <w:tab w:val="right" w:pos="8306"/>
      </w:tabs>
    </w:pPr>
  </w:style>
  <w:style w:type="character" w:customStyle="1" w:styleId="ZpatChar">
    <w:name w:val="Zápatí Char"/>
    <w:basedOn w:val="Standardnpsmoodstavce"/>
    <w:link w:val="Zpat"/>
    <w:rsid w:val="008F768C"/>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8F768C"/>
    <w:pPr>
      <w:ind w:left="720"/>
      <w:contextualSpacing/>
    </w:pPr>
  </w:style>
  <w:style w:type="paragraph" w:customStyle="1" w:styleId="Paragrafneslovan">
    <w:name w:val="Paragraf nečíslovaný"/>
    <w:basedOn w:val="Normln"/>
    <w:autoRedefine/>
    <w:rsid w:val="008F768C"/>
    <w:pPr>
      <w:ind w:firstLine="0"/>
      <w:jc w:val="both"/>
    </w:pPr>
    <w:rPr>
      <w:sz w:val="24"/>
    </w:rPr>
  </w:style>
  <w:style w:type="paragraph" w:customStyle="1" w:styleId="parzahl">
    <w:name w:val="parzahl"/>
    <w:basedOn w:val="Normln"/>
    <w:next w:val="Paragrafneslovan"/>
    <w:rsid w:val="008F768C"/>
    <w:pPr>
      <w:numPr>
        <w:numId w:val="1"/>
      </w:numPr>
      <w:spacing w:before="120" w:after="120"/>
    </w:pPr>
    <w:rPr>
      <w:b/>
      <w:sz w:val="24"/>
    </w:rPr>
  </w:style>
  <w:style w:type="character" w:customStyle="1" w:styleId="vlevoChar">
    <w:name w:val="vlevo Char"/>
    <w:link w:val="vlevo"/>
    <w:locked/>
    <w:rsid w:val="008F768C"/>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8F768C"/>
    <w:pPr>
      <w:ind w:firstLine="0"/>
      <w:jc w:val="both"/>
    </w:pPr>
    <w:rPr>
      <w:sz w:val="24"/>
    </w:rPr>
  </w:style>
  <w:style w:type="paragraph" w:customStyle="1" w:styleId="nadpcent">
    <w:name w:val="nadpcent"/>
    <w:basedOn w:val="Normln"/>
    <w:next w:val="vlevo"/>
    <w:autoRedefine/>
    <w:rsid w:val="008F768C"/>
    <w:pPr>
      <w:spacing w:before="600" w:after="480"/>
      <w:ind w:firstLine="0"/>
      <w:jc w:val="center"/>
    </w:pPr>
    <w:rPr>
      <w:b/>
      <w:caps/>
      <w:spacing w:val="22"/>
      <w:sz w:val="24"/>
      <w:lang w:val="en-AU"/>
    </w:rPr>
  </w:style>
  <w:style w:type="paragraph" w:customStyle="1" w:styleId="vlevot">
    <w:name w:val="vlevot"/>
    <w:basedOn w:val="vlevo"/>
    <w:autoRedefine/>
    <w:rsid w:val="008F768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68C"/>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8F768C"/>
    <w:pPr>
      <w:tabs>
        <w:tab w:val="center" w:pos="4153"/>
        <w:tab w:val="right" w:pos="8306"/>
      </w:tabs>
    </w:pPr>
  </w:style>
  <w:style w:type="character" w:customStyle="1" w:styleId="ZpatChar">
    <w:name w:val="Zápatí Char"/>
    <w:basedOn w:val="Standardnpsmoodstavce"/>
    <w:link w:val="Zpat"/>
    <w:rsid w:val="008F768C"/>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8F768C"/>
    <w:pPr>
      <w:ind w:left="720"/>
      <w:contextualSpacing/>
    </w:pPr>
  </w:style>
  <w:style w:type="paragraph" w:customStyle="1" w:styleId="Paragrafneslovan">
    <w:name w:val="Paragraf nečíslovaný"/>
    <w:basedOn w:val="Normln"/>
    <w:autoRedefine/>
    <w:rsid w:val="008F768C"/>
    <w:pPr>
      <w:ind w:firstLine="0"/>
      <w:jc w:val="both"/>
    </w:pPr>
    <w:rPr>
      <w:sz w:val="24"/>
    </w:rPr>
  </w:style>
  <w:style w:type="paragraph" w:customStyle="1" w:styleId="parzahl">
    <w:name w:val="parzahl"/>
    <w:basedOn w:val="Normln"/>
    <w:next w:val="Paragrafneslovan"/>
    <w:rsid w:val="008F768C"/>
    <w:pPr>
      <w:numPr>
        <w:numId w:val="1"/>
      </w:numPr>
      <w:spacing w:before="120" w:after="120"/>
    </w:pPr>
    <w:rPr>
      <w:b/>
      <w:sz w:val="24"/>
    </w:rPr>
  </w:style>
  <w:style w:type="character" w:customStyle="1" w:styleId="vlevoChar">
    <w:name w:val="vlevo Char"/>
    <w:link w:val="vlevo"/>
    <w:locked/>
    <w:rsid w:val="008F768C"/>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8F768C"/>
    <w:pPr>
      <w:ind w:firstLine="0"/>
      <w:jc w:val="both"/>
    </w:pPr>
    <w:rPr>
      <w:sz w:val="24"/>
    </w:rPr>
  </w:style>
  <w:style w:type="paragraph" w:customStyle="1" w:styleId="nadpcent">
    <w:name w:val="nadpcent"/>
    <w:basedOn w:val="Normln"/>
    <w:next w:val="vlevo"/>
    <w:autoRedefine/>
    <w:rsid w:val="008F768C"/>
    <w:pPr>
      <w:spacing w:before="600" w:after="480"/>
      <w:ind w:firstLine="0"/>
      <w:jc w:val="center"/>
    </w:pPr>
    <w:rPr>
      <w:b/>
      <w:caps/>
      <w:spacing w:val="22"/>
      <w:sz w:val="24"/>
      <w:lang w:val="en-AU"/>
    </w:rPr>
  </w:style>
  <w:style w:type="paragraph" w:customStyle="1" w:styleId="vlevot">
    <w:name w:val="vlevot"/>
    <w:basedOn w:val="vlevo"/>
    <w:autoRedefine/>
    <w:rsid w:val="008F76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3158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4</cp:revision>
  <cp:lastPrinted>2015-08-18T06:01:00Z</cp:lastPrinted>
  <dcterms:created xsi:type="dcterms:W3CDTF">2015-07-27T07:15:00Z</dcterms:created>
  <dcterms:modified xsi:type="dcterms:W3CDTF">2015-08-21T09:28:00Z</dcterms:modified>
</cp:coreProperties>
</file>