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Pr="00BA4C21" w:rsidRDefault="00291F7A" w:rsidP="00291F7A">
      <w:pPr>
        <w:jc w:val="center"/>
        <w:rPr>
          <w:b/>
        </w:rPr>
      </w:pPr>
      <w:r w:rsidRPr="00BA4C21">
        <w:rPr>
          <w:b/>
        </w:rPr>
        <w:t>Zápis z jednání Komise RMP pro nakládání s majetkem</w:t>
      </w:r>
    </w:p>
    <w:p w:rsidR="00291F7A" w:rsidRPr="00BA4C21" w:rsidRDefault="00291F7A" w:rsidP="00291F7A">
      <w:pPr>
        <w:jc w:val="center"/>
        <w:rPr>
          <w:b/>
          <w:szCs w:val="24"/>
        </w:rPr>
      </w:pPr>
      <w:r w:rsidRPr="00BA4C21">
        <w:rPr>
          <w:b/>
          <w:szCs w:val="24"/>
        </w:rPr>
        <w:t xml:space="preserve">ze dne </w:t>
      </w:r>
      <w:r w:rsidR="00C2218E">
        <w:rPr>
          <w:b/>
          <w:szCs w:val="24"/>
        </w:rPr>
        <w:t>18. srpna</w:t>
      </w:r>
      <w:r w:rsidR="00B67E33">
        <w:rPr>
          <w:b/>
          <w:szCs w:val="24"/>
        </w:rPr>
        <w:t xml:space="preserve"> 2015</w:t>
      </w:r>
    </w:p>
    <w:p w:rsidR="00C2218E" w:rsidRDefault="00C2218E" w:rsidP="004A766F">
      <w:pPr>
        <w:numPr>
          <w:ilvl w:val="12"/>
          <w:numId w:val="0"/>
        </w:numPr>
        <w:tabs>
          <w:tab w:val="left" w:pos="1134"/>
        </w:tabs>
        <w:ind w:left="1134" w:hanging="1134"/>
        <w:jc w:val="both"/>
        <w:rPr>
          <w:rFonts w:eastAsiaTheme="minorHAnsi"/>
          <w:sz w:val="22"/>
          <w:szCs w:val="22"/>
          <w:lang w:eastAsia="en-US"/>
        </w:rPr>
      </w:pPr>
    </w:p>
    <w:p w:rsidR="00AE1D32" w:rsidRDefault="00AE1D32" w:rsidP="004A766F">
      <w:pPr>
        <w:numPr>
          <w:ilvl w:val="12"/>
          <w:numId w:val="0"/>
        </w:numPr>
        <w:tabs>
          <w:tab w:val="left" w:pos="1134"/>
        </w:tabs>
        <w:ind w:left="1134" w:hanging="1134"/>
        <w:jc w:val="both"/>
        <w:rPr>
          <w:rFonts w:eastAsiaTheme="minorHAnsi"/>
          <w:sz w:val="22"/>
          <w:szCs w:val="22"/>
          <w:u w:val="single"/>
          <w:lang w:eastAsia="en-US"/>
        </w:rPr>
      </w:pPr>
    </w:p>
    <w:p w:rsidR="004A766F" w:rsidRPr="004A766F" w:rsidRDefault="004A766F" w:rsidP="004A766F">
      <w:pPr>
        <w:numPr>
          <w:ilvl w:val="12"/>
          <w:numId w:val="0"/>
        </w:numPr>
        <w:tabs>
          <w:tab w:val="left" w:pos="1134"/>
        </w:tabs>
        <w:ind w:left="1134" w:hanging="1134"/>
        <w:jc w:val="both"/>
        <w:rPr>
          <w:rFonts w:eastAsiaTheme="minorHAnsi"/>
          <w:sz w:val="22"/>
          <w:szCs w:val="22"/>
          <w:u w:val="single"/>
          <w:lang w:eastAsia="en-US"/>
        </w:rPr>
      </w:pPr>
      <w:r w:rsidRPr="004A766F">
        <w:rPr>
          <w:rFonts w:eastAsiaTheme="minorHAnsi"/>
          <w:sz w:val="22"/>
          <w:szCs w:val="22"/>
          <w:u w:val="single"/>
          <w:lang w:eastAsia="en-US"/>
        </w:rPr>
        <w:t>MAJ/3</w:t>
      </w:r>
      <w:r w:rsidRPr="004A766F">
        <w:rPr>
          <w:rFonts w:eastAsiaTheme="minorHAnsi"/>
          <w:sz w:val="22"/>
          <w:szCs w:val="22"/>
          <w:u w:val="single"/>
          <w:lang w:eastAsia="en-US"/>
        </w:rPr>
        <w:tab/>
        <w:t xml:space="preserve">Uzavření budoucích smluvních vztahů a prodeje pozemků pro stavbu </w:t>
      </w:r>
      <w:proofErr w:type="gramStart"/>
      <w:r w:rsidRPr="004A766F">
        <w:rPr>
          <w:rFonts w:eastAsiaTheme="minorHAnsi"/>
          <w:sz w:val="22"/>
          <w:szCs w:val="22"/>
          <w:u w:val="single"/>
          <w:lang w:eastAsia="en-US"/>
        </w:rPr>
        <w:t>Bydlení  „Na</w:t>
      </w:r>
      <w:proofErr w:type="gramEnd"/>
      <w:r w:rsidRPr="004A766F">
        <w:rPr>
          <w:rFonts w:eastAsiaTheme="minorHAnsi"/>
          <w:sz w:val="22"/>
          <w:szCs w:val="22"/>
          <w:u w:val="single"/>
          <w:lang w:eastAsia="en-US"/>
        </w:rPr>
        <w:t xml:space="preserve"> Hůrce“  – Radčice – AW Přeštice s.r.o.</w:t>
      </w:r>
    </w:p>
    <w:p w:rsidR="004655C2" w:rsidRPr="004655C2" w:rsidRDefault="004655C2" w:rsidP="00AE1D32">
      <w:pPr>
        <w:overflowPunct w:val="0"/>
        <w:autoSpaceDE w:val="0"/>
        <w:autoSpaceDN w:val="0"/>
        <w:adjustRightInd w:val="0"/>
        <w:spacing w:line="240" w:lineRule="atLeast"/>
        <w:ind w:right="50"/>
        <w:jc w:val="both"/>
        <w:textAlignment w:val="baseline"/>
        <w:rPr>
          <w:szCs w:val="24"/>
        </w:rPr>
      </w:pPr>
      <w:r w:rsidRPr="004655C2">
        <w:rPr>
          <w:szCs w:val="24"/>
        </w:rPr>
        <w:t>K</w:t>
      </w:r>
      <w:r w:rsidR="00AE1D32">
        <w:rPr>
          <w:szCs w:val="24"/>
        </w:rPr>
        <w:t>NM</w:t>
      </w:r>
      <w:r w:rsidRPr="004655C2">
        <w:rPr>
          <w:szCs w:val="24"/>
        </w:rPr>
        <w:t xml:space="preserve"> doporučuje RMP souhlasit s uzavřením níže uvedených smluvních vztahů pro stavbu Bydlení „Na Hůrce“ - Radčice a to</w:t>
      </w:r>
      <w:r w:rsidRPr="004655C2">
        <w:t>:</w:t>
      </w:r>
    </w:p>
    <w:p w:rsidR="004655C2" w:rsidRPr="004655C2" w:rsidRDefault="004655C2" w:rsidP="004655C2">
      <w:pPr>
        <w:overflowPunct w:val="0"/>
        <w:autoSpaceDE w:val="0"/>
        <w:autoSpaceDN w:val="0"/>
        <w:adjustRightInd w:val="0"/>
        <w:jc w:val="both"/>
        <w:textAlignment w:val="baseline"/>
        <w:rPr>
          <w:szCs w:val="24"/>
        </w:rPr>
      </w:pPr>
    </w:p>
    <w:p w:rsidR="00D46C86" w:rsidRPr="00D46C86" w:rsidRDefault="00D46C86" w:rsidP="00D46C86">
      <w:pPr>
        <w:numPr>
          <w:ilvl w:val="0"/>
          <w:numId w:val="17"/>
        </w:numPr>
        <w:overflowPunct w:val="0"/>
        <w:autoSpaceDE w:val="0"/>
        <w:autoSpaceDN w:val="0"/>
        <w:adjustRightInd w:val="0"/>
        <w:jc w:val="both"/>
        <w:textAlignment w:val="baseline"/>
        <w:rPr>
          <w:szCs w:val="24"/>
        </w:rPr>
      </w:pPr>
      <w:r w:rsidRPr="00D46C86">
        <w:rPr>
          <w:szCs w:val="24"/>
        </w:rPr>
        <w:t xml:space="preserve">Smlouvy kupní mezi společností AW Přeštice s.r.o., IČO 29157579, se sídlem Komenského 75, PSČ 334 01 Přeštice, jako kupujícím a městem Plzní jako prodávajícím na prodej pozemků </w:t>
      </w:r>
      <w:proofErr w:type="spellStart"/>
      <w:r w:rsidRPr="00D46C86">
        <w:rPr>
          <w:szCs w:val="24"/>
        </w:rPr>
        <w:t>parc</w:t>
      </w:r>
      <w:proofErr w:type="spellEnd"/>
      <w:r w:rsidRPr="00D46C86">
        <w:rPr>
          <w:szCs w:val="24"/>
        </w:rPr>
        <w:t>. č. 762/16 o výměře 26 m</w:t>
      </w:r>
      <w:r w:rsidRPr="00D46C86">
        <w:rPr>
          <w:szCs w:val="24"/>
          <w:vertAlign w:val="superscript"/>
        </w:rPr>
        <w:t>2</w:t>
      </w:r>
      <w:r w:rsidRPr="00D46C86">
        <w:rPr>
          <w:szCs w:val="24"/>
        </w:rPr>
        <w:t xml:space="preserve">, ostatní plocha – jiná plocha, </w:t>
      </w:r>
      <w:proofErr w:type="spellStart"/>
      <w:r w:rsidRPr="00D46C86">
        <w:rPr>
          <w:szCs w:val="24"/>
        </w:rPr>
        <w:t>parc</w:t>
      </w:r>
      <w:proofErr w:type="spellEnd"/>
      <w:r w:rsidRPr="00D46C86">
        <w:rPr>
          <w:szCs w:val="24"/>
        </w:rPr>
        <w:t>. č. 762/17, o výměře 1 m</w:t>
      </w:r>
      <w:r w:rsidRPr="00D46C86">
        <w:rPr>
          <w:szCs w:val="24"/>
          <w:vertAlign w:val="superscript"/>
        </w:rPr>
        <w:t>2</w:t>
      </w:r>
      <w:r w:rsidRPr="00D46C86">
        <w:rPr>
          <w:szCs w:val="24"/>
        </w:rPr>
        <w:t xml:space="preserve">, ostatní plocha – jiná plocha a </w:t>
      </w:r>
      <w:proofErr w:type="spellStart"/>
      <w:r w:rsidRPr="00D46C86">
        <w:rPr>
          <w:szCs w:val="24"/>
        </w:rPr>
        <w:t>parc</w:t>
      </w:r>
      <w:proofErr w:type="spellEnd"/>
      <w:r w:rsidRPr="00D46C86">
        <w:rPr>
          <w:szCs w:val="24"/>
        </w:rPr>
        <w:t>. č. 745/43, o výměře 2 m</w:t>
      </w:r>
      <w:r w:rsidRPr="00D46C86">
        <w:rPr>
          <w:szCs w:val="24"/>
          <w:vertAlign w:val="superscript"/>
        </w:rPr>
        <w:t>2</w:t>
      </w:r>
      <w:r w:rsidRPr="00D46C86">
        <w:rPr>
          <w:szCs w:val="24"/>
        </w:rPr>
        <w:t xml:space="preserve">, ostatní plocha – ostatní komunikace, vše zapsané na LV č. 1 pro </w:t>
      </w:r>
      <w:proofErr w:type="spellStart"/>
      <w:r w:rsidRPr="00D46C86">
        <w:rPr>
          <w:szCs w:val="24"/>
        </w:rPr>
        <w:t>k.ú</w:t>
      </w:r>
      <w:proofErr w:type="spellEnd"/>
      <w:r w:rsidRPr="00D46C86">
        <w:rPr>
          <w:szCs w:val="24"/>
        </w:rPr>
        <w:t xml:space="preserve">. Radčice u Plzně. </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Smluvní kupní cena pozemků o celkové výměře 29 m</w:t>
      </w:r>
      <w:r w:rsidRPr="00D46C86">
        <w:rPr>
          <w:szCs w:val="24"/>
          <w:vertAlign w:val="superscript"/>
        </w:rPr>
        <w:t>2</w:t>
      </w:r>
      <w:r w:rsidRPr="00D46C86">
        <w:rPr>
          <w:szCs w:val="24"/>
        </w:rPr>
        <w:t xml:space="preserve"> činí 48 430 Kč (1 670 Kč/1m</w:t>
      </w:r>
      <w:r w:rsidRPr="00D46C86">
        <w:rPr>
          <w:szCs w:val="24"/>
          <w:vertAlign w:val="superscript"/>
        </w:rPr>
        <w:t>2</w:t>
      </w:r>
      <w:r w:rsidRPr="00D46C86">
        <w:rPr>
          <w:szCs w:val="24"/>
        </w:rPr>
        <w:t xml:space="preserve">). </w:t>
      </w:r>
    </w:p>
    <w:p w:rsidR="00D46C86" w:rsidRPr="00D46C86" w:rsidRDefault="00D46C86" w:rsidP="00D46C86">
      <w:pPr>
        <w:overflowPunct w:val="0"/>
        <w:autoSpaceDE w:val="0"/>
        <w:autoSpaceDN w:val="0"/>
        <w:adjustRightInd w:val="0"/>
        <w:ind w:left="360"/>
        <w:jc w:val="both"/>
        <w:textAlignment w:val="baseline"/>
        <w:rPr>
          <w:bCs/>
          <w:szCs w:val="24"/>
        </w:rPr>
      </w:pPr>
      <w:r w:rsidRPr="00D46C86">
        <w:rPr>
          <w:bCs/>
          <w:szCs w:val="24"/>
        </w:rPr>
        <w:t>Kupující uhradí prodávajícímu sjednanou kupní cenu před podpisem kupní smlouvy na účet prodávajícího.</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Daň z nabytí nemovitých věcí bude hrazena dle zákonného opatření Senátu č. 340/2013 Sb.</w:t>
      </w:r>
    </w:p>
    <w:p w:rsidR="00D46C86" w:rsidRPr="00D46C86" w:rsidRDefault="00D46C86" w:rsidP="00D46C86">
      <w:pPr>
        <w:overflowPunct w:val="0"/>
        <w:autoSpaceDE w:val="0"/>
        <w:autoSpaceDN w:val="0"/>
        <w:adjustRightInd w:val="0"/>
        <w:jc w:val="both"/>
        <w:textAlignment w:val="baseline"/>
        <w:rPr>
          <w:szCs w:val="24"/>
        </w:rPr>
      </w:pPr>
    </w:p>
    <w:p w:rsidR="00D46C86" w:rsidRPr="00D46C86" w:rsidRDefault="00D46C86" w:rsidP="00D46C86">
      <w:pPr>
        <w:overflowPunct w:val="0"/>
        <w:autoSpaceDE w:val="0"/>
        <w:autoSpaceDN w:val="0"/>
        <w:adjustRightInd w:val="0"/>
        <w:jc w:val="both"/>
        <w:textAlignment w:val="baseline"/>
        <w:rPr>
          <w:szCs w:val="24"/>
        </w:rPr>
      </w:pPr>
      <w:r w:rsidRPr="00D46C86">
        <w:rPr>
          <w:szCs w:val="24"/>
        </w:rPr>
        <w:t>Pro I. etapu:</w:t>
      </w:r>
    </w:p>
    <w:p w:rsidR="00D46C86" w:rsidRPr="00D46C86" w:rsidRDefault="00D46C86" w:rsidP="00D46C86">
      <w:pPr>
        <w:numPr>
          <w:ilvl w:val="0"/>
          <w:numId w:val="17"/>
        </w:numPr>
        <w:overflowPunct w:val="0"/>
        <w:autoSpaceDE w:val="0"/>
        <w:autoSpaceDN w:val="0"/>
        <w:adjustRightInd w:val="0"/>
        <w:jc w:val="both"/>
        <w:textAlignment w:val="baseline"/>
        <w:rPr>
          <w:szCs w:val="24"/>
        </w:rPr>
      </w:pPr>
      <w:r w:rsidRPr="00D46C86">
        <w:rPr>
          <w:szCs w:val="24"/>
        </w:rPr>
        <w:t xml:space="preserve">Smlouvy o smlouvě budoucí kupní mezi městem Plzní, jako kupujícím a společností AW Přeštice s.r.o., IČO 29157579, se sídlem Komenského 75, PSČ 334 01 Přeštice, jako prodávajícím, na výkup pozemků dotčených I. etapou stavby TDI Bydlení „Na Hůrce“ – Radčice, kdy město Plzeň získá od společnosti AW Přeštice s.r.o. do svého vlastnictví pozemky nebo části pozemků </w:t>
      </w:r>
      <w:proofErr w:type="spellStart"/>
      <w:r w:rsidRPr="00D46C86">
        <w:rPr>
          <w:szCs w:val="24"/>
        </w:rPr>
        <w:t>parc</w:t>
      </w:r>
      <w:proofErr w:type="spellEnd"/>
      <w:r w:rsidRPr="00D46C86">
        <w:rPr>
          <w:szCs w:val="24"/>
        </w:rPr>
        <w:t>. č.:</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745/13 o výměře 7 m</w:t>
      </w:r>
      <w:r w:rsidRPr="00D46C86">
        <w:rPr>
          <w:szCs w:val="24"/>
          <w:vertAlign w:val="superscript"/>
        </w:rPr>
        <w:t>2</w:t>
      </w:r>
      <w:r w:rsidRPr="00D46C86">
        <w:rPr>
          <w:szCs w:val="24"/>
        </w:rPr>
        <w:t>, 773/4 o výměře 6 m</w:t>
      </w:r>
      <w:r w:rsidRPr="00D46C86">
        <w:rPr>
          <w:szCs w:val="24"/>
          <w:vertAlign w:val="superscript"/>
        </w:rPr>
        <w:t>2</w:t>
      </w:r>
      <w:r w:rsidRPr="00D46C86">
        <w:rPr>
          <w:szCs w:val="24"/>
        </w:rPr>
        <w:t>, 773/107 o výměře 7m</w:t>
      </w:r>
      <w:r w:rsidRPr="00D46C86">
        <w:rPr>
          <w:szCs w:val="24"/>
          <w:vertAlign w:val="superscript"/>
        </w:rPr>
        <w:t>2</w:t>
      </w:r>
      <w:r w:rsidRPr="00D46C86">
        <w:rPr>
          <w:szCs w:val="24"/>
        </w:rPr>
        <w:t>, 745/14 o výměře 12 m</w:t>
      </w:r>
      <w:r w:rsidRPr="00D46C86">
        <w:rPr>
          <w:szCs w:val="24"/>
          <w:vertAlign w:val="superscript"/>
        </w:rPr>
        <w:t>2</w:t>
      </w:r>
      <w:r w:rsidRPr="00D46C86">
        <w:rPr>
          <w:szCs w:val="24"/>
        </w:rPr>
        <w:t>, 773/77 o výměře 17 m</w:t>
      </w:r>
      <w:r w:rsidRPr="00D46C86">
        <w:rPr>
          <w:szCs w:val="24"/>
          <w:vertAlign w:val="superscript"/>
        </w:rPr>
        <w:t>2</w:t>
      </w:r>
      <w:r w:rsidRPr="00D46C86">
        <w:rPr>
          <w:szCs w:val="24"/>
        </w:rPr>
        <w:t>, 773/108 o výměře 1 m</w:t>
      </w:r>
      <w:r w:rsidRPr="00D46C86">
        <w:rPr>
          <w:szCs w:val="24"/>
          <w:vertAlign w:val="superscript"/>
        </w:rPr>
        <w:t>2</w:t>
      </w:r>
      <w:r w:rsidRPr="00D46C86">
        <w:rPr>
          <w:szCs w:val="24"/>
        </w:rPr>
        <w:t>, 745/15 o výměře 28 m</w:t>
      </w:r>
      <w:r w:rsidRPr="00D46C86">
        <w:rPr>
          <w:szCs w:val="24"/>
          <w:vertAlign w:val="superscript"/>
        </w:rPr>
        <w:t>2</w:t>
      </w:r>
      <w:r w:rsidRPr="00D46C86">
        <w:rPr>
          <w:szCs w:val="24"/>
        </w:rPr>
        <w:t>, 745/16 o výměře 5 m</w:t>
      </w:r>
      <w:r w:rsidRPr="00D46C86">
        <w:rPr>
          <w:szCs w:val="24"/>
          <w:vertAlign w:val="superscript"/>
        </w:rPr>
        <w:t>2</w:t>
      </w:r>
      <w:r w:rsidRPr="00D46C86">
        <w:rPr>
          <w:szCs w:val="24"/>
        </w:rPr>
        <w:t>, 745/7 o výměře 13 m</w:t>
      </w:r>
      <w:r w:rsidRPr="00D46C86">
        <w:rPr>
          <w:szCs w:val="24"/>
          <w:vertAlign w:val="superscript"/>
        </w:rPr>
        <w:t>2</w:t>
      </w:r>
      <w:r w:rsidRPr="00D46C86">
        <w:rPr>
          <w:szCs w:val="24"/>
        </w:rPr>
        <w:t>, vše v </w:t>
      </w:r>
      <w:proofErr w:type="spellStart"/>
      <w:r w:rsidRPr="00D46C86">
        <w:rPr>
          <w:szCs w:val="24"/>
        </w:rPr>
        <w:t>k.ú</w:t>
      </w:r>
      <w:proofErr w:type="spellEnd"/>
      <w:r w:rsidRPr="00D46C86">
        <w:rPr>
          <w:szCs w:val="24"/>
        </w:rPr>
        <w:t>. Radčice u Plzně.</w:t>
      </w:r>
      <w:r w:rsidRPr="00D46C86">
        <w:rPr>
          <w:szCs w:val="24"/>
          <w:vertAlign w:val="superscript"/>
        </w:rPr>
        <w:t xml:space="preserve"> </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Celková výměra pozemků činí cca 96 m</w:t>
      </w:r>
      <w:r w:rsidRPr="00D46C86">
        <w:rPr>
          <w:szCs w:val="24"/>
          <w:vertAlign w:val="superscript"/>
        </w:rPr>
        <w:t>2</w:t>
      </w:r>
      <w:r w:rsidRPr="00D46C86">
        <w:rPr>
          <w:szCs w:val="24"/>
        </w:rPr>
        <w:t>. Výše uvedené pozemky budou převedeny do majetku města Plzně za smluvní kupní cenu 40 Kč/1m</w:t>
      </w:r>
      <w:r w:rsidRPr="00D46C86">
        <w:rPr>
          <w:szCs w:val="24"/>
          <w:vertAlign w:val="superscript"/>
        </w:rPr>
        <w:t>2</w:t>
      </w:r>
      <w:r w:rsidRPr="00D46C86">
        <w:rPr>
          <w:szCs w:val="24"/>
        </w:rPr>
        <w:t>, tj. celkem cca 3 840 Kč.</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Rozsah předmětu prodeje bude specifikován dle kolaudačního souhlasu a zaměření skutečného stavu staveb TDI po jejich dokončení. </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že zaměření skutečného provedení TDI převáděné do majetku města Plzně prokáže zásah do dalších pozemků ve vlastnictví jiných subjektů, zavazuje se společnost AW Přeštice s.r.o. do doby uzavření konečné kupní smlouvy zajistit jejich převedení do majetku města Plzně za smluvní kupní cenu 40 Kč/1m</w:t>
      </w:r>
      <w:r w:rsidRPr="00D46C86">
        <w:rPr>
          <w:szCs w:val="24"/>
          <w:vertAlign w:val="superscript"/>
        </w:rPr>
        <w:t>2</w:t>
      </w:r>
      <w:r w:rsidRPr="00D46C86">
        <w:rPr>
          <w:szCs w:val="24"/>
        </w:rPr>
        <w:t>, souběžně s ostatními pozemky, nejpozději však současně s převodem TDI, popřípadě se zavazuje ke zřízení služebnosti ve prospěch města Plzně. V případě nesplnění této povinnosti má město Plzeň právo od této smlouvy odstoupit.</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že budoucí prodávající nesplní všechny podmínky sjednané ve smlouvě budoucí kupní pro uzavření kupní smlouvy anebo neuzavře kupní smlouvu, a to vše ve sjednané lhůtě 10 měsíců od obdržení výzvy k jejímu uzavření, má budoucí kupující právo od této smlouvy odstoupit a budoucí prodávající je povinen uhradit budoucímu kupujícímu smluvní pokutu ve výši 100 000 Kč a to do 60 dnů od doručení písemné výzvy k zaplacení smluvní pokuty.</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Budoucí kupující má vedle smluvní pokuty nárok na náhradu škody vzniklé z porušení povinnosti, ke které se smluvní pokuta vztahuje.</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převodu vlastnického práva k předmětným pozemkům je budoucí prodávající povinen smluvně zajistit, aby povinnosti budoucích prodávajících obsažené v této smlouvě zavazovaly i nového vlastníka pozemků.</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firstLine="360"/>
        <w:textAlignment w:val="baseline"/>
        <w:rPr>
          <w:szCs w:val="24"/>
        </w:rPr>
      </w:pPr>
      <w:r w:rsidRPr="00D46C86">
        <w:rPr>
          <w:szCs w:val="24"/>
        </w:rPr>
        <w:t>Daň z nabytí nemovitých věcí bude uhrazena dle zákonného opatření Senátu č. 340/2013 Sb.</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numPr>
          <w:ilvl w:val="0"/>
          <w:numId w:val="17"/>
        </w:numPr>
        <w:overflowPunct w:val="0"/>
        <w:autoSpaceDE w:val="0"/>
        <w:autoSpaceDN w:val="0"/>
        <w:adjustRightInd w:val="0"/>
        <w:jc w:val="both"/>
        <w:textAlignment w:val="baseline"/>
        <w:rPr>
          <w:szCs w:val="24"/>
        </w:rPr>
      </w:pPr>
      <w:r w:rsidRPr="00D46C86">
        <w:rPr>
          <w:szCs w:val="24"/>
        </w:rPr>
        <w:t>Smlouvy o smlouvě budoucí kupní mezi městem Plzní, jako kupujícím a společností AW Přeštice s.r.o., IČO 29157579, se sídlem Komenského 75, PSČ 334 01 Přeštice, jako prodávajícím na převod TDI do majetku města Plzně pro I. etapu stavby Bydlení „Na Hůrce“ – Radčice a to: komunikace, veřejného osvětlení, sadových úprav, odvodňovacích žlabů, opěrných zdí na pozemcích v </w:t>
      </w:r>
      <w:proofErr w:type="spellStart"/>
      <w:r w:rsidRPr="00D46C86">
        <w:rPr>
          <w:szCs w:val="24"/>
        </w:rPr>
        <w:t>k.ú</w:t>
      </w:r>
      <w:proofErr w:type="spellEnd"/>
      <w:r w:rsidRPr="00D46C86">
        <w:rPr>
          <w:szCs w:val="24"/>
        </w:rPr>
        <w:t xml:space="preserve">. Radčice u Plzně </w:t>
      </w:r>
      <w:proofErr w:type="spellStart"/>
      <w:r w:rsidRPr="00D46C86">
        <w:rPr>
          <w:szCs w:val="24"/>
        </w:rPr>
        <w:t>parc</w:t>
      </w:r>
      <w:proofErr w:type="spellEnd"/>
      <w:r w:rsidRPr="00D46C86">
        <w:rPr>
          <w:szCs w:val="24"/>
        </w:rPr>
        <w:t>. č.:</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515/4, 745/8, 516/3, 516/4, 773/3, 745/6, 745/10, 762/6, 773/4, 745/13, 745/12, 745/9, 745/11, 762/1, 750/1, 750/11, 745/1, 745/15, 745/14, 773/77, 773/107, 745/7, 773/108, 745/16 a to včetně převodu</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a) </w:t>
      </w:r>
      <w:proofErr w:type="spellStart"/>
      <w:r w:rsidRPr="00D46C86">
        <w:rPr>
          <w:szCs w:val="24"/>
        </w:rPr>
        <w:t>extravilánové</w:t>
      </w:r>
      <w:proofErr w:type="spellEnd"/>
      <w:r w:rsidRPr="00D46C86">
        <w:rPr>
          <w:szCs w:val="24"/>
        </w:rPr>
        <w:t xml:space="preserve"> kanalizace DN 600 a DN 800 na pozemku </w:t>
      </w:r>
      <w:proofErr w:type="spellStart"/>
      <w:r w:rsidRPr="00D46C86">
        <w:rPr>
          <w:szCs w:val="24"/>
        </w:rPr>
        <w:t>parc</w:t>
      </w:r>
      <w:proofErr w:type="spellEnd"/>
      <w:r w:rsidRPr="00D46C86">
        <w:rPr>
          <w:szCs w:val="24"/>
        </w:rPr>
        <w:t xml:space="preserve">. č. 762/1 včetně lapače splavenin a </w:t>
      </w:r>
      <w:proofErr w:type="spellStart"/>
      <w:r w:rsidRPr="00D46C86">
        <w:rPr>
          <w:szCs w:val="24"/>
        </w:rPr>
        <w:t>výústního</w:t>
      </w:r>
      <w:proofErr w:type="spellEnd"/>
      <w:r w:rsidRPr="00D46C86">
        <w:rPr>
          <w:szCs w:val="24"/>
        </w:rPr>
        <w:t xml:space="preserve"> objektu,</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b) splaškové kanalizace DN 250 v úseku od šachty ŠS5a po šachtu ŠS4 na pozemcích </w:t>
      </w:r>
      <w:proofErr w:type="spellStart"/>
      <w:r w:rsidRPr="00D46C86">
        <w:rPr>
          <w:szCs w:val="24"/>
        </w:rPr>
        <w:t>parc</w:t>
      </w:r>
      <w:proofErr w:type="spellEnd"/>
      <w:r w:rsidRPr="00D46C86">
        <w:rPr>
          <w:szCs w:val="24"/>
        </w:rPr>
        <w:t>. č. 745/10, 745/11,762/1,</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c) dešťové kanalizace DN 250 na pozemcích </w:t>
      </w:r>
      <w:proofErr w:type="spellStart"/>
      <w:r w:rsidRPr="00D46C86">
        <w:rPr>
          <w:szCs w:val="24"/>
        </w:rPr>
        <w:t>parc</w:t>
      </w:r>
      <w:proofErr w:type="spellEnd"/>
      <w:r w:rsidRPr="00D46C86">
        <w:rPr>
          <w:szCs w:val="24"/>
        </w:rPr>
        <w:t>. č. 762/6, 762/1, 745/12, 745/10, 745/9, 745/11,</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d) odvodnění komunikace pomocí uličních vpustí označených G2 až G8 včetně jejich napojení na kanalizaci a horské vpusti HV1 za předpokladu, že SVSMP převezme do své správy stavbu komunikace,</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a to v rozsahu dle grafické přílohy č. 1, 2, 3 stanoviska TÚ MMP (</w:t>
      </w:r>
      <w:r w:rsidRPr="00D46C86">
        <w:rPr>
          <w:i/>
          <w:szCs w:val="24"/>
        </w:rPr>
        <w:t>příloha č. 2)</w:t>
      </w:r>
      <w:r w:rsidRPr="00D46C86">
        <w:rPr>
          <w:szCs w:val="24"/>
        </w:rPr>
        <w:t xml:space="preserve"> a za podmínek společných pro převod VHI pro I. a II. etapu stavby.</w:t>
      </w:r>
    </w:p>
    <w:p w:rsidR="00D46C86" w:rsidRPr="00D46C86" w:rsidRDefault="00D46C86" w:rsidP="00D46C86">
      <w:pPr>
        <w:overflowPunct w:val="0"/>
        <w:autoSpaceDE w:val="0"/>
        <w:autoSpaceDN w:val="0"/>
        <w:adjustRightInd w:val="0"/>
        <w:ind w:left="426" w:firstLine="294"/>
        <w:jc w:val="both"/>
        <w:textAlignment w:val="baseline"/>
        <w:rPr>
          <w:szCs w:val="24"/>
        </w:rPr>
      </w:pPr>
      <w:r w:rsidRPr="00D46C86">
        <w:rPr>
          <w:szCs w:val="24"/>
        </w:rPr>
        <w:t>SVSMP převezme komunikace pouze za podmínky, že OSI MMP převezme jejich odvodnění.</w:t>
      </w:r>
    </w:p>
    <w:p w:rsidR="00D46C86" w:rsidRPr="00D46C86" w:rsidRDefault="00D46C86" w:rsidP="00D46C86">
      <w:pPr>
        <w:overflowPunct w:val="0"/>
        <w:autoSpaceDE w:val="0"/>
        <w:autoSpaceDN w:val="0"/>
        <w:adjustRightInd w:val="0"/>
        <w:ind w:left="360" w:firstLine="360"/>
        <w:jc w:val="both"/>
        <w:textAlignment w:val="baseline"/>
        <w:rPr>
          <w:szCs w:val="24"/>
        </w:rPr>
      </w:pPr>
      <w:r w:rsidRPr="00D46C86">
        <w:rPr>
          <w:szCs w:val="24"/>
        </w:rPr>
        <w:t>SVSMP souhlasí se svěřením získaných pozemků do své správy.</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Výše uvedená TDI bude převedena do majetku města Plzně za smluvní kupní cenu 1% z prokazatelně vynaložených nákladů na realizaci převáděných staveb TDI, totožná pravidla budou použita pro stanovení výše finanční náhrady za účelem finančního vypořádání, pokud by se ukázalo, že některá shora uvedená infrastruktura není samostatnou věcí a je součástí pozemku. Součet takto stanovené finanční náhrady a kupní ceny za předmět budoucího prodeje nesmí přesáhnout 1 000 000 Kč.</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Konečná smlouva kupní na převod TDI pro I. etapu stavby a konečná smlouva kupní na převod pozemků na převod TDI pro I. etapu stavby budou uzavřeny současně do 10 měsíců ode dne vydání posledního kolaudačního souhlasu na dokončenou I. etapu stavby „Bydlení Na Hůrce – Radčice“, nejpozději však do 31. 12. 2018. </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Konečné smlouvy budou uzavřeny pouze při splnění všech podmínek smluv o smlouvách budoucích a právní nezatíženosti získávaného majetku, kdy výjimku mohou tvořit pouze služebnosti, které vzniknou z realizace stavby I. etapy stavby „Bydlení Na Hůrce – Radčice“, přičemž přesný rozsah stavby TDI bude stanoven dle zaměření skutečného stavu ke kolaudaci I. etapy stavby a dle konečného zaměření I. etapy stavby doloženého ke kolaudačnímu souhlasu. Konečné smlouvy budou předloženy ke schválení do RMP a ZMP, kde bude schváleno i svěření nabývaného majetku.</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lastRenderedPageBreak/>
        <w:t>V případě, že zaměření skutečného provedení dokončené I. etapy stavby TDI převáděné do majetku města prokáže zásah do dalších pozemků ve vlastnictví jiných subjektů, než je město Plzeň, zavazuje se společnost AW Přeštice s.r.o. zajistit jejich převedení do majetku města Plzně za smluvní cenu 40 Kč/m</w:t>
      </w:r>
      <w:r w:rsidRPr="00D46C86">
        <w:rPr>
          <w:szCs w:val="24"/>
          <w:vertAlign w:val="superscript"/>
        </w:rPr>
        <w:t>2</w:t>
      </w:r>
      <w:r w:rsidRPr="00D46C86">
        <w:rPr>
          <w:szCs w:val="24"/>
        </w:rPr>
        <w:t>, nebo musí být zřízena služebnost (jen v případě TI) ve prospěch města Plzně, nejpozději však současně s převodem staveb TDI.</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jc w:val="both"/>
        <w:textAlignment w:val="baseline"/>
        <w:rPr>
          <w:szCs w:val="24"/>
        </w:rPr>
      </w:pPr>
      <w:r w:rsidRPr="00D46C86">
        <w:rPr>
          <w:szCs w:val="24"/>
        </w:rPr>
        <w:t>Pro II. etapu:</w:t>
      </w:r>
    </w:p>
    <w:p w:rsidR="00D46C86" w:rsidRPr="00D46C86" w:rsidRDefault="00D46C86" w:rsidP="00D46C86">
      <w:pPr>
        <w:overflowPunct w:val="0"/>
        <w:autoSpaceDE w:val="0"/>
        <w:autoSpaceDN w:val="0"/>
        <w:adjustRightInd w:val="0"/>
        <w:jc w:val="both"/>
        <w:textAlignment w:val="baseline"/>
        <w:rPr>
          <w:szCs w:val="24"/>
        </w:rPr>
      </w:pPr>
    </w:p>
    <w:p w:rsidR="00D46C86" w:rsidRPr="00D46C86" w:rsidRDefault="00D46C86" w:rsidP="00D46C86">
      <w:pPr>
        <w:numPr>
          <w:ilvl w:val="0"/>
          <w:numId w:val="17"/>
        </w:numPr>
        <w:overflowPunct w:val="0"/>
        <w:autoSpaceDE w:val="0"/>
        <w:autoSpaceDN w:val="0"/>
        <w:adjustRightInd w:val="0"/>
        <w:jc w:val="both"/>
        <w:textAlignment w:val="baseline"/>
        <w:rPr>
          <w:szCs w:val="24"/>
        </w:rPr>
      </w:pPr>
      <w:r w:rsidRPr="00D46C86">
        <w:rPr>
          <w:szCs w:val="24"/>
        </w:rPr>
        <w:t>Smlouvy o smlouvě budoucí kupní mezi městem Plzní, jako kupujícím a společností AW Přeštice s.r.o., IČO 29157579, se sídlem Komenského 75, PSČ 334 01 Přeštice, jako prodávajícím, na výkup pozemků dotčených II. etapou stavby TDI jejichž součástí je veřejný prostor a retenční vsakovací plošný prvek Bydlení „Na Hůrce“ – Radčice, kdy město Plzeň získá od společnosti AW Přeštice s.r.o. do svého vlastnictví pozemky nebo části pozemků v </w:t>
      </w:r>
      <w:proofErr w:type="spellStart"/>
      <w:r w:rsidRPr="00D46C86">
        <w:rPr>
          <w:szCs w:val="24"/>
        </w:rPr>
        <w:t>k.ú</w:t>
      </w:r>
      <w:proofErr w:type="spellEnd"/>
      <w:r w:rsidRPr="00D46C86">
        <w:rPr>
          <w:szCs w:val="24"/>
        </w:rPr>
        <w:t xml:space="preserve">. Radčice u Plzně </w:t>
      </w:r>
      <w:proofErr w:type="spellStart"/>
      <w:r w:rsidRPr="00D46C86">
        <w:rPr>
          <w:szCs w:val="24"/>
        </w:rPr>
        <w:t>parc</w:t>
      </w:r>
      <w:proofErr w:type="spellEnd"/>
      <w:r w:rsidRPr="00D46C86">
        <w:rPr>
          <w:szCs w:val="24"/>
        </w:rPr>
        <w:t>. č.:</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745/7 o výměře 84 m</w:t>
      </w:r>
      <w:r w:rsidRPr="00D46C86">
        <w:rPr>
          <w:szCs w:val="24"/>
          <w:vertAlign w:val="superscript"/>
        </w:rPr>
        <w:t>2</w:t>
      </w:r>
      <w:r w:rsidRPr="00D46C86">
        <w:rPr>
          <w:szCs w:val="24"/>
        </w:rPr>
        <w:t>, 773/101 o výměře 97 m</w:t>
      </w:r>
      <w:r w:rsidRPr="00D46C86">
        <w:rPr>
          <w:szCs w:val="24"/>
          <w:vertAlign w:val="superscript"/>
        </w:rPr>
        <w:t>2</w:t>
      </w:r>
      <w:r w:rsidRPr="00D46C86">
        <w:rPr>
          <w:szCs w:val="24"/>
        </w:rPr>
        <w:t>, 773/65 o výměře 984 m</w:t>
      </w:r>
      <w:r w:rsidRPr="00D46C86">
        <w:rPr>
          <w:szCs w:val="24"/>
          <w:vertAlign w:val="superscript"/>
        </w:rPr>
        <w:t>2</w:t>
      </w:r>
      <w:r w:rsidRPr="00D46C86">
        <w:rPr>
          <w:szCs w:val="24"/>
        </w:rPr>
        <w:t>, 773/90 o výměře 150 m</w:t>
      </w:r>
      <w:r w:rsidRPr="00D46C86">
        <w:rPr>
          <w:szCs w:val="24"/>
          <w:vertAlign w:val="superscript"/>
        </w:rPr>
        <w:t>2</w:t>
      </w:r>
      <w:r w:rsidRPr="00D46C86">
        <w:rPr>
          <w:szCs w:val="24"/>
        </w:rPr>
        <w:t>, 772/4 o výměře 371 m</w:t>
      </w:r>
      <w:r w:rsidRPr="00D46C86">
        <w:rPr>
          <w:szCs w:val="24"/>
          <w:vertAlign w:val="superscript"/>
        </w:rPr>
        <w:t>2</w:t>
      </w:r>
      <w:r w:rsidRPr="00D46C86">
        <w:rPr>
          <w:szCs w:val="24"/>
        </w:rPr>
        <w:t>, 771 o výměře 25 m</w:t>
      </w:r>
      <w:r w:rsidRPr="00D46C86">
        <w:rPr>
          <w:szCs w:val="24"/>
          <w:vertAlign w:val="superscript"/>
        </w:rPr>
        <w:t>2</w:t>
      </w:r>
      <w:r w:rsidRPr="00D46C86">
        <w:rPr>
          <w:szCs w:val="24"/>
        </w:rPr>
        <w:t>, 773/7 o výměře 733 m</w:t>
      </w:r>
      <w:r w:rsidRPr="00D46C86">
        <w:rPr>
          <w:szCs w:val="24"/>
          <w:vertAlign w:val="superscript"/>
        </w:rPr>
        <w:t>2</w:t>
      </w:r>
      <w:r w:rsidRPr="00D46C86">
        <w:rPr>
          <w:szCs w:val="24"/>
        </w:rPr>
        <w:t>, 745/17 o výměře 2 m</w:t>
      </w:r>
      <w:r w:rsidRPr="00D46C86">
        <w:rPr>
          <w:szCs w:val="24"/>
          <w:vertAlign w:val="superscript"/>
        </w:rPr>
        <w:t>2</w:t>
      </w:r>
      <w:r w:rsidRPr="00D46C86">
        <w:rPr>
          <w:szCs w:val="24"/>
        </w:rPr>
        <w:t>, 745/16 o výměře 30 m</w:t>
      </w:r>
      <w:r w:rsidRPr="00D46C86">
        <w:rPr>
          <w:szCs w:val="24"/>
          <w:vertAlign w:val="superscript"/>
        </w:rPr>
        <w:t>2</w:t>
      </w:r>
      <w:r w:rsidRPr="00D46C86">
        <w:rPr>
          <w:szCs w:val="24"/>
        </w:rPr>
        <w:t>, 773/83 o výměře 142 m</w:t>
      </w:r>
      <w:r w:rsidRPr="00D46C86">
        <w:rPr>
          <w:szCs w:val="24"/>
          <w:vertAlign w:val="superscript"/>
        </w:rPr>
        <w:t>2</w:t>
      </w:r>
      <w:r w:rsidRPr="00D46C86">
        <w:rPr>
          <w:szCs w:val="24"/>
        </w:rPr>
        <w:t>, 773/77 o výměře 968 m</w:t>
      </w:r>
      <w:r w:rsidRPr="00D46C86">
        <w:rPr>
          <w:szCs w:val="24"/>
          <w:vertAlign w:val="superscript"/>
        </w:rPr>
        <w:t>2</w:t>
      </w:r>
      <w:r w:rsidRPr="00D46C86">
        <w:rPr>
          <w:szCs w:val="24"/>
        </w:rPr>
        <w:t>, 773/107 o výměře 135 m</w:t>
      </w:r>
      <w:r w:rsidRPr="00D46C86">
        <w:rPr>
          <w:szCs w:val="24"/>
          <w:vertAlign w:val="superscript"/>
        </w:rPr>
        <w:t>2</w:t>
      </w:r>
      <w:r w:rsidRPr="00D46C86">
        <w:rPr>
          <w:szCs w:val="24"/>
        </w:rPr>
        <w:t>, 773/12 o výměře 156 m</w:t>
      </w:r>
      <w:r w:rsidRPr="00D46C86">
        <w:rPr>
          <w:szCs w:val="24"/>
          <w:vertAlign w:val="superscript"/>
        </w:rPr>
        <w:t>2</w:t>
      </w:r>
      <w:r w:rsidRPr="00D46C86">
        <w:rPr>
          <w:szCs w:val="24"/>
        </w:rPr>
        <w:t>, 772/3 o výměře 471 m</w:t>
      </w:r>
      <w:r w:rsidRPr="00D46C86">
        <w:rPr>
          <w:szCs w:val="24"/>
          <w:vertAlign w:val="superscript"/>
        </w:rPr>
        <w:t>2</w:t>
      </w:r>
      <w:r w:rsidRPr="00D46C86">
        <w:rPr>
          <w:szCs w:val="24"/>
        </w:rPr>
        <w:t>, 773/14 o výměře 25 m</w:t>
      </w:r>
      <w:r w:rsidRPr="00D46C86">
        <w:rPr>
          <w:szCs w:val="24"/>
          <w:vertAlign w:val="superscript"/>
        </w:rPr>
        <w:t>2</w:t>
      </w:r>
      <w:r w:rsidRPr="00D46C86">
        <w:rPr>
          <w:szCs w:val="24"/>
        </w:rPr>
        <w:t>, 773/11 o výměře 512 m</w:t>
      </w:r>
      <w:r w:rsidRPr="00D46C86">
        <w:rPr>
          <w:szCs w:val="24"/>
          <w:vertAlign w:val="superscript"/>
        </w:rPr>
        <w:t>2</w:t>
      </w:r>
      <w:r w:rsidRPr="00D46C86">
        <w:rPr>
          <w:szCs w:val="24"/>
        </w:rPr>
        <w:t>, 773/10 o výměře 280 m</w:t>
      </w:r>
      <w:r w:rsidRPr="00D46C86">
        <w:rPr>
          <w:szCs w:val="24"/>
          <w:vertAlign w:val="superscript"/>
        </w:rPr>
        <w:t>2</w:t>
      </w:r>
      <w:r w:rsidRPr="00D46C86">
        <w:rPr>
          <w:szCs w:val="24"/>
        </w:rPr>
        <w:t xml:space="preserve"> a 773/64 o výměře 6 m</w:t>
      </w:r>
      <w:r w:rsidRPr="00D46C86">
        <w:rPr>
          <w:szCs w:val="24"/>
          <w:vertAlign w:val="superscript"/>
        </w:rPr>
        <w:t>2</w:t>
      </w:r>
      <w:r w:rsidRPr="00D46C86">
        <w:rPr>
          <w:szCs w:val="24"/>
        </w:rPr>
        <w:t xml:space="preserve">. </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Celková výměra pozemků činí cca 5 171 m</w:t>
      </w:r>
      <w:r w:rsidRPr="00D46C86">
        <w:rPr>
          <w:szCs w:val="24"/>
          <w:vertAlign w:val="superscript"/>
        </w:rPr>
        <w:t>2</w:t>
      </w:r>
      <w:r w:rsidRPr="00D46C86">
        <w:rPr>
          <w:szCs w:val="24"/>
        </w:rPr>
        <w:t>. Výše uvedené pozemky budou převedeny do majetku města Plzně za smluvní kupní cenu 40 Kč/1m</w:t>
      </w:r>
      <w:r w:rsidRPr="00D46C86">
        <w:rPr>
          <w:szCs w:val="24"/>
          <w:vertAlign w:val="superscript"/>
        </w:rPr>
        <w:t>2</w:t>
      </w:r>
      <w:r w:rsidRPr="00D46C86">
        <w:rPr>
          <w:szCs w:val="24"/>
        </w:rPr>
        <w:t>, tj. celkem cca 206 840 Kč.</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 xml:space="preserve">Rozsah předmětu prodeje bude specifikován dle kolaudačního souhlasu a zaměření skutečného stavu stavby TDI po jejím dokončení. </w:t>
      </w:r>
    </w:p>
    <w:p w:rsidR="00D46C86" w:rsidRPr="00D46C86" w:rsidRDefault="00D46C86" w:rsidP="00D46C86">
      <w:pPr>
        <w:overflowPunct w:val="0"/>
        <w:autoSpaceDE w:val="0"/>
        <w:autoSpaceDN w:val="0"/>
        <w:adjustRightInd w:val="0"/>
        <w:ind w:left="284"/>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že zaměření skutečného provedení TDI převáděné do majetku města Plzně prokáže zásah do dalších pozemků ve vlastnictví jiných subjektů, zavazuje se společnost AW Přeštice s.r.o. do doby uzavření konečné kupní smlouvy zajistit jejich převedení do majetku města Plzně za smluvní kupní cenu 40 Kč/1m</w:t>
      </w:r>
      <w:r w:rsidRPr="00D46C86">
        <w:rPr>
          <w:szCs w:val="24"/>
          <w:vertAlign w:val="superscript"/>
        </w:rPr>
        <w:t>2</w:t>
      </w:r>
      <w:r w:rsidRPr="00D46C86">
        <w:rPr>
          <w:szCs w:val="24"/>
        </w:rPr>
        <w:t>, souběžně s ostatními pozemky, nejpozději však současně s převodem TDI, popřípadě se zavazuje ke zřízení služebnosti ve prospěch města Plzně. V případě nesplnění této povinnosti má město Plzeň právo od této smlouvy odstoupit.</w:t>
      </w:r>
    </w:p>
    <w:p w:rsidR="00D46C86" w:rsidRPr="00D46C86" w:rsidRDefault="00D46C86" w:rsidP="00D46C86">
      <w:pPr>
        <w:overflowPunct w:val="0"/>
        <w:autoSpaceDE w:val="0"/>
        <w:autoSpaceDN w:val="0"/>
        <w:adjustRightInd w:val="0"/>
        <w:ind w:left="360"/>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že budoucí prodávající nesplní všechny podmínky sjednané ve smlouvě budoucí kupní pro uzavření kupní smlouvy anebo neuzavře kupní smlouvu, a to vše ve sjednané lhůtě 10 měsíců od obdržení výzvy k jejímu uzavření, má budoucí kupující právo od této smlouvy odstoupit a budoucí prodávající je povinen uhradit budoucímu kupujícímu smluvní pokutu ve výši 100 000 Kč a to do 60 dnů od doručení písemné výzvy k zaplacení smluvní pokuty.</w:t>
      </w: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Budoucí kupující má vedle smluvní pokuty nárok na náhradu škody vzniklé z porušení povinnosti, ke které se smluvní pokuta vztahuje.</w:t>
      </w:r>
    </w:p>
    <w:p w:rsidR="00D46C86" w:rsidRPr="00D46C86" w:rsidRDefault="00D46C86" w:rsidP="00D46C86">
      <w:pPr>
        <w:overflowPunct w:val="0"/>
        <w:autoSpaceDE w:val="0"/>
        <w:autoSpaceDN w:val="0"/>
        <w:adjustRightInd w:val="0"/>
        <w:ind w:left="502" w:hanging="426"/>
        <w:jc w:val="both"/>
        <w:textAlignment w:val="baseline"/>
        <w:rPr>
          <w:szCs w:val="24"/>
        </w:rPr>
      </w:pPr>
    </w:p>
    <w:p w:rsidR="00D46C86" w:rsidRPr="00D46C86" w:rsidRDefault="00D46C86" w:rsidP="00D46C86">
      <w:pPr>
        <w:overflowPunct w:val="0"/>
        <w:autoSpaceDE w:val="0"/>
        <w:autoSpaceDN w:val="0"/>
        <w:adjustRightInd w:val="0"/>
        <w:ind w:left="360"/>
        <w:jc w:val="both"/>
        <w:textAlignment w:val="baseline"/>
        <w:rPr>
          <w:szCs w:val="24"/>
        </w:rPr>
      </w:pPr>
      <w:r w:rsidRPr="00D46C86">
        <w:rPr>
          <w:szCs w:val="24"/>
        </w:rPr>
        <w:t>V případě převodu vlastnického práva k předmětným pozemkům jsou budoucí prodávající povinni smluvně zajistit, aby povinnosti budoucích prodávajících obsažené v této smlouvě zavazovaly i nového vlastníka pozemků.</w:t>
      </w:r>
    </w:p>
    <w:p w:rsidR="00D46C86" w:rsidRPr="00D46C86" w:rsidRDefault="00D46C86" w:rsidP="00D46C86">
      <w:pPr>
        <w:overflowPunct w:val="0"/>
        <w:autoSpaceDE w:val="0"/>
        <w:autoSpaceDN w:val="0"/>
        <w:adjustRightInd w:val="0"/>
        <w:ind w:left="426" w:hanging="426"/>
        <w:jc w:val="both"/>
        <w:textAlignment w:val="baseline"/>
        <w:rPr>
          <w:szCs w:val="24"/>
        </w:rPr>
      </w:pPr>
    </w:p>
    <w:p w:rsidR="00D46C86" w:rsidRPr="00D46C86" w:rsidRDefault="00D46C86" w:rsidP="00D46C86">
      <w:pPr>
        <w:overflowPunct w:val="0"/>
        <w:autoSpaceDE w:val="0"/>
        <w:autoSpaceDN w:val="0"/>
        <w:adjustRightInd w:val="0"/>
        <w:ind w:left="426" w:hanging="66"/>
        <w:jc w:val="both"/>
        <w:textAlignment w:val="baseline"/>
        <w:rPr>
          <w:szCs w:val="24"/>
        </w:rPr>
      </w:pPr>
      <w:r w:rsidRPr="00D46C86">
        <w:rPr>
          <w:szCs w:val="24"/>
        </w:rPr>
        <w:t>Daň z nabytí nemovitých věcí bude uhrazena dle zákonného opatření Senátu č. 340/2013 Sb.</w:t>
      </w:r>
    </w:p>
    <w:p w:rsidR="00D46C86" w:rsidRPr="00D46C86" w:rsidRDefault="00D46C86" w:rsidP="00D46C86">
      <w:pPr>
        <w:overflowPunct w:val="0"/>
        <w:autoSpaceDE w:val="0"/>
        <w:autoSpaceDN w:val="0"/>
        <w:adjustRightInd w:val="0"/>
        <w:ind w:left="426" w:hanging="426"/>
        <w:jc w:val="both"/>
        <w:textAlignment w:val="baseline"/>
        <w:rPr>
          <w:szCs w:val="24"/>
        </w:rPr>
      </w:pPr>
    </w:p>
    <w:p w:rsidR="00D46C86" w:rsidRPr="00D46C86" w:rsidRDefault="00D46C86" w:rsidP="00D46C86">
      <w:pPr>
        <w:numPr>
          <w:ilvl w:val="0"/>
          <w:numId w:val="17"/>
        </w:numPr>
        <w:overflowPunct w:val="0"/>
        <w:autoSpaceDE w:val="0"/>
        <w:autoSpaceDN w:val="0"/>
        <w:adjustRightInd w:val="0"/>
        <w:jc w:val="both"/>
        <w:textAlignment w:val="baseline"/>
        <w:rPr>
          <w:szCs w:val="24"/>
        </w:rPr>
      </w:pPr>
      <w:r w:rsidRPr="00D46C86">
        <w:rPr>
          <w:szCs w:val="24"/>
        </w:rPr>
        <w:lastRenderedPageBreak/>
        <w:t>Smlouvy o smlouvě budoucí kupní mezi městem Plzní, jako kupujícím a společností AW Přeštice s.r.o., IČO 29157579, se sídlem Komenského 75, PSČ 334 01 Přeštice, jako prodávajícím na převod TDI do majetku města Plzně pro II. etapu stavby Bydlení „Na Hůrce“ – Radčice a to: komunikací, veřejného osvětlení, sadových úprav, veřejného prostoru, retenčního prvku, drenáže v komunikacích zaústěné do SO 06 - Retenční vsakovací plošný prvek, retenční nádrž včetně přípojky na dešťovou kanalizaci a dočasného přepadu s </w:t>
      </w:r>
      <w:proofErr w:type="spellStart"/>
      <w:r w:rsidRPr="00D46C86">
        <w:rPr>
          <w:szCs w:val="24"/>
        </w:rPr>
        <w:t>výústí</w:t>
      </w:r>
      <w:proofErr w:type="spellEnd"/>
      <w:r w:rsidRPr="00D46C86">
        <w:rPr>
          <w:szCs w:val="24"/>
        </w:rPr>
        <w:t xml:space="preserve"> na pozemcích v </w:t>
      </w:r>
      <w:proofErr w:type="spellStart"/>
      <w:r w:rsidRPr="00D46C86">
        <w:rPr>
          <w:szCs w:val="24"/>
        </w:rPr>
        <w:t>k.ú</w:t>
      </w:r>
      <w:proofErr w:type="spellEnd"/>
      <w:r w:rsidRPr="00D46C86">
        <w:rPr>
          <w:szCs w:val="24"/>
        </w:rPr>
        <w:t xml:space="preserve">. Radčice </w:t>
      </w:r>
      <w:proofErr w:type="spellStart"/>
      <w:r w:rsidRPr="00D46C86">
        <w:rPr>
          <w:szCs w:val="24"/>
        </w:rPr>
        <w:t>parc</w:t>
      </w:r>
      <w:proofErr w:type="spellEnd"/>
      <w:r w:rsidRPr="00D46C86">
        <w:rPr>
          <w:szCs w:val="24"/>
        </w:rPr>
        <w:t>. č. 773/107, 773/77,745/16,773/7, 772/4, 745/17, 773/65, 773/101, 745/7, 773/90,773/83, 771, 773/108, 745/15, 762/1, 745/43, 772/3, 773/10, 773/11, 773/12, 773/14, 773/64, 773/9, 773/10, 773/11, 773/8, 773/83</w:t>
      </w:r>
    </w:p>
    <w:p w:rsidR="00D46C86" w:rsidRPr="00D46C86" w:rsidRDefault="00D46C86" w:rsidP="00D46C86">
      <w:pPr>
        <w:overflowPunct w:val="0"/>
        <w:autoSpaceDE w:val="0"/>
        <w:autoSpaceDN w:val="0"/>
        <w:adjustRightInd w:val="0"/>
        <w:ind w:firstLine="360"/>
        <w:jc w:val="both"/>
        <w:textAlignment w:val="baseline"/>
        <w:rPr>
          <w:szCs w:val="24"/>
        </w:rPr>
      </w:pPr>
      <w:r w:rsidRPr="00D46C86">
        <w:rPr>
          <w:szCs w:val="24"/>
        </w:rPr>
        <w:t>a to včetně převodu</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xml:space="preserve">a) vodovodního řadu DN 100 na pozemcích </w:t>
      </w:r>
      <w:proofErr w:type="spellStart"/>
      <w:r w:rsidRPr="00D46C86">
        <w:rPr>
          <w:szCs w:val="24"/>
        </w:rPr>
        <w:t>parc</w:t>
      </w:r>
      <w:proofErr w:type="spellEnd"/>
      <w:r w:rsidRPr="00D46C86">
        <w:rPr>
          <w:szCs w:val="24"/>
        </w:rPr>
        <w:t xml:space="preserve">. č. 762/1, 745/11, 745/10,745/6, 745/15,745/14,773/77,773/107, 773/9, 773/8, 5164/4, 745/16, 773/4, 772/4, 771, 773/90, 773/65, 745/7, </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xml:space="preserve">b) splaškové kanalizace DN 250 na pozemcích </w:t>
      </w:r>
      <w:proofErr w:type="spellStart"/>
      <w:r w:rsidRPr="00D46C86">
        <w:rPr>
          <w:szCs w:val="24"/>
        </w:rPr>
        <w:t>parc</w:t>
      </w:r>
      <w:proofErr w:type="spellEnd"/>
      <w:r w:rsidRPr="00D46C86">
        <w:rPr>
          <w:szCs w:val="24"/>
        </w:rPr>
        <w:t>. č. 745/10, 745/6, 745/14, 745/8, 773/77, 745/11, 745/16, 773/7, 772/7, 762/1, 745/7, 773/65,</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xml:space="preserve">c) dešťové kanalizace DN 250 na pozemcích </w:t>
      </w:r>
      <w:proofErr w:type="spellStart"/>
      <w:r w:rsidRPr="00D46C86">
        <w:rPr>
          <w:szCs w:val="24"/>
        </w:rPr>
        <w:t>parc</w:t>
      </w:r>
      <w:proofErr w:type="spellEnd"/>
      <w:r w:rsidRPr="00D46C86">
        <w:rPr>
          <w:szCs w:val="24"/>
        </w:rPr>
        <w:t>. č. 745/10, 745/8, 745/14, 773/77, 773/83, 772/4, 771, 773/90, 773/65, 745/7, 762/1, 745/11, 745/16, 773/7,</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d) odvodnění komunikací pomocí uličních vpustí označených G9 až G21 včetně jejich napojení na dešťovou kanalizaci za předpokladu, že SVSMP do své správy převezme stavbu komunikací,</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a to v rozsahu dle grafické přílohy č. 4, 5, 6 stanoviska TÚ MMP (</w:t>
      </w:r>
      <w:r w:rsidRPr="00D46C86">
        <w:rPr>
          <w:i/>
          <w:szCs w:val="24"/>
        </w:rPr>
        <w:t>příloha č. 2</w:t>
      </w:r>
      <w:r w:rsidRPr="00D46C86">
        <w:rPr>
          <w:szCs w:val="24"/>
        </w:rPr>
        <w:t>) a za podmínek společných pro převod VHI pro I. a II. etapu stavby.</w:t>
      </w:r>
    </w:p>
    <w:p w:rsidR="00D46C86" w:rsidRPr="00D46C86" w:rsidRDefault="00D46C86" w:rsidP="00D46C86">
      <w:pPr>
        <w:overflowPunct w:val="0"/>
        <w:autoSpaceDE w:val="0"/>
        <w:autoSpaceDN w:val="0"/>
        <w:adjustRightInd w:val="0"/>
        <w:ind w:left="426"/>
        <w:jc w:val="both"/>
        <w:textAlignment w:val="baseline"/>
        <w:rPr>
          <w:szCs w:val="24"/>
        </w:rPr>
      </w:pPr>
    </w:p>
    <w:p w:rsidR="00D46C86" w:rsidRPr="00D46C86" w:rsidRDefault="00D46C86" w:rsidP="00D46C86">
      <w:pPr>
        <w:overflowPunct w:val="0"/>
        <w:autoSpaceDE w:val="0"/>
        <w:autoSpaceDN w:val="0"/>
        <w:adjustRightInd w:val="0"/>
        <w:ind w:left="709"/>
        <w:jc w:val="both"/>
        <w:textAlignment w:val="baseline"/>
        <w:rPr>
          <w:szCs w:val="24"/>
        </w:rPr>
      </w:pPr>
      <w:r w:rsidRPr="00D46C86">
        <w:rPr>
          <w:szCs w:val="24"/>
        </w:rPr>
        <w:t>SVSMP převezme komunikace pouze za podmínky, že OSI MMP převezme jejich odvodnění.</w:t>
      </w:r>
    </w:p>
    <w:p w:rsidR="00D46C86" w:rsidRPr="00D46C86" w:rsidRDefault="00D46C86" w:rsidP="00D46C86">
      <w:pPr>
        <w:overflowPunct w:val="0"/>
        <w:autoSpaceDE w:val="0"/>
        <w:autoSpaceDN w:val="0"/>
        <w:adjustRightInd w:val="0"/>
        <w:ind w:left="426" w:firstLine="283"/>
        <w:jc w:val="both"/>
        <w:textAlignment w:val="baseline"/>
        <w:rPr>
          <w:szCs w:val="24"/>
        </w:rPr>
      </w:pPr>
      <w:r w:rsidRPr="00D46C86">
        <w:rPr>
          <w:szCs w:val="24"/>
        </w:rPr>
        <w:t>SVSMP souhlasí se svěřením získaných pozemků do své správy.</w:t>
      </w:r>
    </w:p>
    <w:p w:rsidR="00D46C86" w:rsidRPr="00D46C86" w:rsidRDefault="00D46C86" w:rsidP="00D46C86">
      <w:pPr>
        <w:overflowPunct w:val="0"/>
        <w:autoSpaceDE w:val="0"/>
        <w:autoSpaceDN w:val="0"/>
        <w:adjustRightInd w:val="0"/>
        <w:ind w:left="426"/>
        <w:jc w:val="both"/>
        <w:textAlignment w:val="baseline"/>
        <w:rPr>
          <w:szCs w:val="24"/>
        </w:rPr>
      </w:pP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Výše uvedená TDI bude převedena do majetku města Plzně za smluvní kupní cenu 1% z prokazatelně vynaložených nákladů na realizaci převáděných staveb TDI, totožná pravidla budou použita pro stanovení výše finanční náhrady za účelem finančního vypořádání, pokud by se ukázalo, že některá shora uvedená infrastruktura není samostatnou věcí a je součástí pozemku. Součet takto stanovené finanční náhrady a kupní ceny za předmět budoucího prodeje nesmí přesáhnout 1 000 000 Kč.</w:t>
      </w:r>
    </w:p>
    <w:p w:rsidR="00D46C86" w:rsidRPr="00D46C86" w:rsidRDefault="00D46C86" w:rsidP="00D46C86">
      <w:pPr>
        <w:overflowPunct w:val="0"/>
        <w:autoSpaceDE w:val="0"/>
        <w:autoSpaceDN w:val="0"/>
        <w:adjustRightInd w:val="0"/>
        <w:ind w:left="426"/>
        <w:jc w:val="both"/>
        <w:textAlignment w:val="baseline"/>
        <w:rPr>
          <w:szCs w:val="24"/>
        </w:rPr>
      </w:pP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xml:space="preserve">Konečná smlouva kupní na převod TDI pro II. etapu stavby a konečná smlouva kupní na převod pozemků na převod TDI pro II. etapu stavby budou uzavřeny současně do 10 měsíců ode dne vydání posledního kolaudačního souhlasu na dokončenou II. etapu stavby „Bydlení Na Hůrce – Radčice“, nejpozději však do 31. 12. 2021. </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Konečné smlouvy budou uzavřeny pouze při splnění všech podmínek smluv o smlouvách budoucích a právní nezatíženosti získávaného majetku, kdy výjimku mohou tvořit pouze služebnosti, které vzniknou z realizace stavby II. etapy stavby „Bydlení Na Hůrce – Radčice“, přičemž přesný rozsah stavby TDI bude stanoven dle zaměření skutečného stavu ke kolaudaci II. etapy stavby a dle konečného zaměření II. etapy stavby doloženého ke kolaudačnímu souhlasu. Konečné smlouvy budou předloženy ke schválení do RMP a ZMP, kde bude schváleno i svěření nabývaného majetku.</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xml:space="preserve">V případě, že zaměření skutečného provedení dokončené II. etapy stavby TDI převáděné do majetku města prokáže zásah do dalších pozemků ve vlastnictví jiných subjektů, než je město Plzeň, zavazuje se společnost AW Přeštice s.r.o. zajistit jejich převedení do </w:t>
      </w:r>
      <w:r w:rsidRPr="00D46C86">
        <w:rPr>
          <w:szCs w:val="24"/>
        </w:rPr>
        <w:lastRenderedPageBreak/>
        <w:t>majetku města Plzně za smluvní cenu 40 Kč/m</w:t>
      </w:r>
      <w:r w:rsidRPr="00D46C86">
        <w:rPr>
          <w:szCs w:val="24"/>
          <w:vertAlign w:val="superscript"/>
        </w:rPr>
        <w:t>2</w:t>
      </w:r>
      <w:r w:rsidRPr="00D46C86">
        <w:rPr>
          <w:szCs w:val="24"/>
        </w:rPr>
        <w:t>, nebo musí být zřízena služebnost (jen v případě TI) ve prospěch města Plzně, nejpozději však současně s převodem staveb TDI.</w:t>
      </w:r>
    </w:p>
    <w:p w:rsidR="00D46C86" w:rsidRPr="00D46C86" w:rsidRDefault="00D46C86" w:rsidP="00D46C86">
      <w:pPr>
        <w:overflowPunct w:val="0"/>
        <w:autoSpaceDE w:val="0"/>
        <w:autoSpaceDN w:val="0"/>
        <w:adjustRightInd w:val="0"/>
        <w:ind w:left="426"/>
        <w:jc w:val="both"/>
        <w:textAlignment w:val="baseline"/>
        <w:rPr>
          <w:szCs w:val="24"/>
        </w:rPr>
      </w:pPr>
    </w:p>
    <w:p w:rsidR="00D46C86" w:rsidRPr="00D46C86" w:rsidRDefault="00D46C86" w:rsidP="00D46C86">
      <w:pPr>
        <w:overflowPunct w:val="0"/>
        <w:autoSpaceDE w:val="0"/>
        <w:autoSpaceDN w:val="0"/>
        <w:adjustRightInd w:val="0"/>
        <w:ind w:left="426" w:hanging="426"/>
        <w:jc w:val="both"/>
        <w:textAlignment w:val="baseline"/>
        <w:rPr>
          <w:szCs w:val="24"/>
        </w:rPr>
      </w:pPr>
      <w:r w:rsidRPr="00D46C86">
        <w:rPr>
          <w:szCs w:val="24"/>
        </w:rPr>
        <w:t>6.</w:t>
      </w:r>
      <w:r w:rsidRPr="00D46C86">
        <w:rPr>
          <w:szCs w:val="24"/>
        </w:rPr>
        <w:tab/>
        <w:t xml:space="preserve">Smlouvy o smlouvě budoucí o zřízení služebností mezi třemi smluvními stranami a to vlastníkem služebných pozemků </w:t>
      </w:r>
      <w:proofErr w:type="spellStart"/>
      <w:r w:rsidRPr="00D46C86">
        <w:rPr>
          <w:szCs w:val="24"/>
        </w:rPr>
        <w:t>parc</w:t>
      </w:r>
      <w:proofErr w:type="spellEnd"/>
      <w:r w:rsidRPr="00D46C86">
        <w:rPr>
          <w:szCs w:val="24"/>
        </w:rPr>
        <w:t>. č. 773/8, 773/9 a 774/6 zapsaných na LV č. 289 pro </w:t>
      </w:r>
      <w:proofErr w:type="spellStart"/>
      <w:r w:rsidRPr="00D46C86">
        <w:rPr>
          <w:szCs w:val="24"/>
        </w:rPr>
        <w:t>k.ú</w:t>
      </w:r>
      <w:proofErr w:type="spellEnd"/>
      <w:r w:rsidRPr="00D46C86">
        <w:rPr>
          <w:szCs w:val="24"/>
        </w:rPr>
        <w:t>. Radčice u Plzně, městem Plzní (budoucí oprávněný) a společností AW Přeštice s.r.o., IČO 29157579, se sídlem Komenského 75, PSČ 334 01 Přeštice (investor stavby), jejímž předmětem bude:</w:t>
      </w:r>
    </w:p>
    <w:p w:rsidR="00D46C86" w:rsidRPr="00D46C86" w:rsidRDefault="00D46C86" w:rsidP="00D46C86">
      <w:pPr>
        <w:overflowPunct w:val="0"/>
        <w:autoSpaceDE w:val="0"/>
        <w:autoSpaceDN w:val="0"/>
        <w:adjustRightInd w:val="0"/>
        <w:ind w:left="426" w:hanging="426"/>
        <w:jc w:val="both"/>
        <w:textAlignment w:val="baseline"/>
        <w:rPr>
          <w:szCs w:val="24"/>
        </w:rPr>
      </w:pP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6.1. Právo umístění a provozování dočasného přepadu s výustí z retenčního vsakovacího plošného prvku (SO 06) včetně práva přístupu, příjezdu za účelem jeho oprav, údržby apod. a to v nezbytně nutném rozsahu, tj. včetně ochranného pásma.</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Služebnost bude zřízena ve prospěch města Plzně, a to úplatně na dobu určitou do doby vybudování obchvatu Městský západní okruh. Jednorázová úhrada za zřízení věcného břemene jde k tíži investora stavby.</w:t>
      </w:r>
    </w:p>
    <w:p w:rsidR="00D46C86" w:rsidRPr="00D46C86" w:rsidRDefault="00D46C86" w:rsidP="00D46C86">
      <w:pPr>
        <w:overflowPunct w:val="0"/>
        <w:autoSpaceDE w:val="0"/>
        <w:autoSpaceDN w:val="0"/>
        <w:adjustRightInd w:val="0"/>
        <w:jc w:val="both"/>
        <w:textAlignment w:val="baseline"/>
        <w:rPr>
          <w:szCs w:val="24"/>
        </w:rPr>
      </w:pP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6.2. Právo umístění a provozování trvalého přepadu s výustí z retenčního vsakovacího plošného prvku (SO 06) včetně práva přístupu, příjezdu za účelem jeho oprav, údržby apod. a to v nezbytně nutném rozsahu, tj. včetně ochranného pásma.</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Služebnost bude zřízena ve prospěch města Plzně, a to úplatně na dobu neurčitou. Jednorázová úhrada za zřízení věcného břemene jde k tíži investora stavby.</w:t>
      </w:r>
    </w:p>
    <w:p w:rsidR="00D46C86" w:rsidRPr="00D46C86" w:rsidRDefault="00D46C86" w:rsidP="00D46C86">
      <w:pPr>
        <w:overflowPunct w:val="0"/>
        <w:autoSpaceDE w:val="0"/>
        <w:autoSpaceDN w:val="0"/>
        <w:adjustRightInd w:val="0"/>
        <w:ind w:left="426"/>
        <w:jc w:val="both"/>
        <w:textAlignment w:val="baseline"/>
        <w:rPr>
          <w:szCs w:val="24"/>
        </w:rPr>
      </w:pP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6.3. Právo umístění potrubí vodovodního řadu DN 100 včetně práva přístupu, příjezdu za účelem jeho oprav, údržby apod. a to v nezbytně nutném rozsahu, tj. včetně ochranného pásma.</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Služebnost bude zřízena ve prospěch města Plzně, a to úplatně na dobu neurčitou. Jednorázová úhrada za zřízení věcného břemene jde k tíži investora stavby.</w:t>
      </w:r>
    </w:p>
    <w:p w:rsidR="00D46C86" w:rsidRPr="00D46C86" w:rsidRDefault="00D46C86" w:rsidP="00D46C86">
      <w:pPr>
        <w:overflowPunct w:val="0"/>
        <w:autoSpaceDE w:val="0"/>
        <w:autoSpaceDN w:val="0"/>
        <w:adjustRightInd w:val="0"/>
        <w:jc w:val="both"/>
        <w:textAlignment w:val="baseline"/>
        <w:rPr>
          <w:szCs w:val="24"/>
        </w:rPr>
      </w:pPr>
    </w:p>
    <w:p w:rsidR="00D46C86" w:rsidRPr="00D46C86" w:rsidRDefault="00D46C86" w:rsidP="00D46C86">
      <w:pPr>
        <w:tabs>
          <w:tab w:val="left" w:pos="426"/>
        </w:tabs>
        <w:overflowPunct w:val="0"/>
        <w:autoSpaceDE w:val="0"/>
        <w:autoSpaceDN w:val="0"/>
        <w:adjustRightInd w:val="0"/>
        <w:ind w:left="426" w:hanging="426"/>
        <w:jc w:val="both"/>
        <w:textAlignment w:val="baseline"/>
        <w:rPr>
          <w:szCs w:val="24"/>
        </w:rPr>
      </w:pPr>
      <w:r w:rsidRPr="00D46C86">
        <w:rPr>
          <w:szCs w:val="24"/>
        </w:rPr>
        <w:t>7.</w:t>
      </w:r>
      <w:r w:rsidRPr="00D46C86">
        <w:rPr>
          <w:szCs w:val="24"/>
        </w:rPr>
        <w:tab/>
        <w:t xml:space="preserve">Smlouva o smlouvě budoucí o zřízení služebnosti mezi třemi smluvními stranami a to spoluvlastníky služebného pozemku </w:t>
      </w:r>
      <w:proofErr w:type="spellStart"/>
      <w:r w:rsidRPr="00D46C86">
        <w:rPr>
          <w:szCs w:val="24"/>
        </w:rPr>
        <w:t>parc</w:t>
      </w:r>
      <w:proofErr w:type="spellEnd"/>
      <w:r w:rsidRPr="00D46C86">
        <w:rPr>
          <w:szCs w:val="24"/>
        </w:rPr>
        <w:t>. č. 516/4 zapsaného na LV č. 250 pro </w:t>
      </w:r>
      <w:proofErr w:type="spellStart"/>
      <w:r w:rsidRPr="00D46C86">
        <w:rPr>
          <w:szCs w:val="24"/>
        </w:rPr>
        <w:t>k.ú</w:t>
      </w:r>
      <w:proofErr w:type="spellEnd"/>
      <w:r w:rsidRPr="00D46C86">
        <w:rPr>
          <w:szCs w:val="24"/>
        </w:rPr>
        <w:t>. Radčice u Plzně, městem Plzní (budoucí oprávněný) a společností AW Přeštice s.r.o.,</w:t>
      </w:r>
      <w:r w:rsidRPr="00D46C86">
        <w:rPr>
          <w:sz w:val="20"/>
          <w:szCs w:val="24"/>
        </w:rPr>
        <w:t xml:space="preserve"> </w:t>
      </w:r>
      <w:r w:rsidRPr="00D46C86">
        <w:rPr>
          <w:szCs w:val="24"/>
        </w:rPr>
        <w:t>IČO 29157579, se sídlem Komenského 75, PSČ 334 01 Přeštice (investor stavby), jejímž předmětem bude:</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 právo umístění potrubí vodovodního řadu DN 100 (</w:t>
      </w:r>
      <w:proofErr w:type="spellStart"/>
      <w:r w:rsidRPr="00D46C86">
        <w:rPr>
          <w:szCs w:val="24"/>
        </w:rPr>
        <w:t>zokrouhování</w:t>
      </w:r>
      <w:proofErr w:type="spellEnd"/>
      <w:r w:rsidRPr="00D46C86">
        <w:rPr>
          <w:szCs w:val="24"/>
        </w:rPr>
        <w:t xml:space="preserve"> vodovodního řadu - napojení na stávající vodovodní řad) a dále právo přístupu, příjezdu za účelem jeho oprav, údržby apod. a to v nezbytně nutném rozsahu, tj. včetně ochranného pásma.</w:t>
      </w:r>
    </w:p>
    <w:p w:rsidR="00D46C86" w:rsidRPr="00D46C86" w:rsidRDefault="00D46C86" w:rsidP="00D46C86">
      <w:pPr>
        <w:overflowPunct w:val="0"/>
        <w:autoSpaceDE w:val="0"/>
        <w:autoSpaceDN w:val="0"/>
        <w:adjustRightInd w:val="0"/>
        <w:ind w:left="426"/>
        <w:jc w:val="both"/>
        <w:textAlignment w:val="baseline"/>
        <w:rPr>
          <w:szCs w:val="24"/>
        </w:rPr>
      </w:pPr>
      <w:r w:rsidRPr="00D46C86">
        <w:rPr>
          <w:szCs w:val="24"/>
        </w:rPr>
        <w:t>Služebnost bude zřízena ve prospěch města Plzně, a to úplatně na dobu neurčitou. Jednorázová úhrada za zřízení věcného břemene jde k tíži investora stavby.</w:t>
      </w:r>
    </w:p>
    <w:p w:rsidR="00D46C86" w:rsidRPr="00D46C86" w:rsidRDefault="00D46C86" w:rsidP="00D46C86">
      <w:pPr>
        <w:overflowPunct w:val="0"/>
        <w:autoSpaceDE w:val="0"/>
        <w:autoSpaceDN w:val="0"/>
        <w:adjustRightInd w:val="0"/>
        <w:ind w:firstLine="709"/>
        <w:jc w:val="both"/>
        <w:textAlignment w:val="baseline"/>
        <w:rPr>
          <w:szCs w:val="24"/>
        </w:rPr>
      </w:pPr>
    </w:p>
    <w:p w:rsidR="00AE1D32" w:rsidRDefault="00AE1D32" w:rsidP="00AE1D32">
      <w:pPr>
        <w:tabs>
          <w:tab w:val="left" w:pos="3240"/>
          <w:tab w:val="left" w:pos="6300"/>
        </w:tabs>
        <w:jc w:val="both"/>
        <w:rPr>
          <w:szCs w:val="24"/>
        </w:rPr>
      </w:pPr>
      <w:r>
        <w:rPr>
          <w:szCs w:val="24"/>
        </w:rPr>
        <w:t>souhlasí</w:t>
      </w:r>
      <w:r w:rsidR="00D6572F">
        <w:rPr>
          <w:szCs w:val="24"/>
        </w:rPr>
        <w:t xml:space="preserve"> 13</w:t>
      </w:r>
    </w:p>
    <w:p w:rsidR="00AE1D32" w:rsidRDefault="00AE1D32" w:rsidP="004A766F">
      <w:pPr>
        <w:tabs>
          <w:tab w:val="left" w:pos="1134"/>
        </w:tabs>
        <w:ind w:left="1134" w:hanging="1134"/>
        <w:jc w:val="both"/>
        <w:rPr>
          <w:sz w:val="22"/>
          <w:szCs w:val="22"/>
          <w:u w:val="single"/>
        </w:rPr>
      </w:pPr>
    </w:p>
    <w:p w:rsidR="00291F7A" w:rsidRPr="00757E3F" w:rsidRDefault="00291F7A" w:rsidP="00291F7A">
      <w:pPr>
        <w:tabs>
          <w:tab w:val="left" w:pos="284"/>
        </w:tabs>
        <w:jc w:val="both"/>
      </w:pPr>
      <w:bookmarkStart w:id="0" w:name="_GoBack"/>
      <w:bookmarkEnd w:id="0"/>
      <w:r>
        <w:tab/>
      </w:r>
      <w:r>
        <w:tab/>
      </w:r>
      <w:r>
        <w:tab/>
      </w:r>
      <w:r>
        <w:tab/>
      </w:r>
      <w:r>
        <w:tab/>
      </w:r>
      <w:r>
        <w:tab/>
      </w:r>
      <w:r>
        <w:tab/>
      </w:r>
      <w:r w:rsidRPr="00757E3F">
        <w:t>Helena Matoušová</w:t>
      </w:r>
    </w:p>
    <w:p w:rsidR="00291F7A" w:rsidRPr="00757E3F" w:rsidRDefault="00291F7A" w:rsidP="00291F7A">
      <w:pPr>
        <w:tabs>
          <w:tab w:val="left" w:pos="284"/>
        </w:tabs>
        <w:jc w:val="both"/>
      </w:pPr>
      <w:r w:rsidRPr="00757E3F">
        <w:t xml:space="preserve">                                                            předsedkyně Komise RMP pro nakládání s majetkem </w:t>
      </w:r>
    </w:p>
    <w:p w:rsidR="00291F7A" w:rsidRPr="00757E3F" w:rsidRDefault="00291F7A" w:rsidP="00291F7A">
      <w:pPr>
        <w:rPr>
          <w:sz w:val="22"/>
          <w:szCs w:val="22"/>
        </w:rPr>
      </w:pPr>
    </w:p>
    <w:p w:rsidR="00291F7A" w:rsidRPr="00757E3F" w:rsidRDefault="00291F7A" w:rsidP="00291F7A">
      <w:pPr>
        <w:rPr>
          <w:sz w:val="22"/>
          <w:szCs w:val="22"/>
        </w:rPr>
      </w:pPr>
    </w:p>
    <w:p w:rsidR="00291F7A" w:rsidRPr="00757E3F" w:rsidRDefault="00291F7A" w:rsidP="00291F7A">
      <w:pPr>
        <w:rPr>
          <w:sz w:val="22"/>
          <w:szCs w:val="22"/>
        </w:rPr>
      </w:pPr>
      <w:r w:rsidRPr="00757E3F">
        <w:rPr>
          <w:sz w:val="22"/>
          <w:szCs w:val="22"/>
        </w:rPr>
        <w:t>Zapsala: Ing. Hana Kuglerová</w:t>
      </w:r>
      <w:r w:rsidR="00DB6730">
        <w:rPr>
          <w:sz w:val="22"/>
          <w:szCs w:val="22"/>
        </w:rPr>
        <w:t>, MBA</w:t>
      </w:r>
      <w:r w:rsidRPr="00757E3F">
        <w:rPr>
          <w:sz w:val="22"/>
          <w:szCs w:val="22"/>
        </w:rPr>
        <w:t xml:space="preserve"> </w:t>
      </w:r>
    </w:p>
    <w:p w:rsidR="00291F7A" w:rsidRDefault="00291F7A">
      <w:r w:rsidRPr="00757E3F">
        <w:rPr>
          <w:sz w:val="22"/>
          <w:szCs w:val="22"/>
        </w:rPr>
        <w:t xml:space="preserve">               tajemnice Komise RMP pro nakládání s majetkem</w:t>
      </w:r>
    </w:p>
    <w:sectPr w:rsidR="00291F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F8" w:rsidRDefault="007059F8" w:rsidP="00291F7A">
      <w:r>
        <w:separator/>
      </w:r>
    </w:p>
  </w:endnote>
  <w:endnote w:type="continuationSeparator" w:id="0">
    <w:p w:rsidR="007059F8" w:rsidRDefault="007059F8" w:rsidP="002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28077"/>
      <w:docPartObj>
        <w:docPartGallery w:val="Page Numbers (Bottom of Page)"/>
        <w:docPartUnique/>
      </w:docPartObj>
    </w:sdtPr>
    <w:sdtEndPr>
      <w:rPr>
        <w:sz w:val="20"/>
      </w:rPr>
    </w:sdtEndPr>
    <w:sdtContent>
      <w:p w:rsidR="007059F8" w:rsidRPr="00291F7A" w:rsidRDefault="007059F8">
        <w:pPr>
          <w:pStyle w:val="Zpat"/>
          <w:jc w:val="center"/>
          <w:rPr>
            <w:sz w:val="20"/>
          </w:rPr>
        </w:pPr>
        <w:r w:rsidRPr="00291F7A">
          <w:rPr>
            <w:sz w:val="20"/>
          </w:rPr>
          <w:fldChar w:fldCharType="begin"/>
        </w:r>
        <w:r w:rsidRPr="00291F7A">
          <w:rPr>
            <w:sz w:val="20"/>
          </w:rPr>
          <w:instrText>PAGE   \* MERGEFORMAT</w:instrText>
        </w:r>
        <w:r w:rsidRPr="00291F7A">
          <w:rPr>
            <w:sz w:val="20"/>
          </w:rPr>
          <w:fldChar w:fldCharType="separate"/>
        </w:r>
        <w:r w:rsidR="00B31114">
          <w:rPr>
            <w:noProof/>
            <w:sz w:val="20"/>
          </w:rPr>
          <w:t>5</w:t>
        </w:r>
        <w:r w:rsidRPr="00291F7A">
          <w:rPr>
            <w:sz w:val="20"/>
          </w:rPr>
          <w:fldChar w:fldCharType="end"/>
        </w:r>
      </w:p>
    </w:sdtContent>
  </w:sdt>
  <w:p w:rsidR="007059F8" w:rsidRDefault="007059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F8" w:rsidRDefault="007059F8" w:rsidP="00291F7A">
      <w:r>
        <w:separator/>
      </w:r>
    </w:p>
  </w:footnote>
  <w:footnote w:type="continuationSeparator" w:id="0">
    <w:p w:rsidR="007059F8" w:rsidRDefault="007059F8" w:rsidP="002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F8" w:rsidRPr="00BA4C21" w:rsidRDefault="007059F8" w:rsidP="00291F7A">
    <w:pPr>
      <w:tabs>
        <w:tab w:val="center" w:pos="4536"/>
        <w:tab w:val="right" w:pos="9072"/>
      </w:tabs>
      <w:ind w:left="5760"/>
      <w:rPr>
        <w:sz w:val="20"/>
      </w:rPr>
    </w:pPr>
    <w:r w:rsidRPr="00BA4C21">
      <w:rPr>
        <w:sz w:val="20"/>
      </w:rPr>
      <w:t>Komise RMP pro nakládání s majetkem</w:t>
    </w:r>
  </w:p>
  <w:p w:rsidR="007059F8" w:rsidRPr="00BA4C21" w:rsidRDefault="007059F8" w:rsidP="00291F7A">
    <w:pPr>
      <w:tabs>
        <w:tab w:val="center" w:pos="4536"/>
        <w:tab w:val="right" w:pos="9072"/>
      </w:tabs>
      <w:ind w:left="5760"/>
      <w:rPr>
        <w:sz w:val="20"/>
      </w:rPr>
    </w:pPr>
    <w:r w:rsidRPr="00BA4C21">
      <w:rPr>
        <w:sz w:val="20"/>
      </w:rPr>
      <w:t xml:space="preserve"> dne</w:t>
    </w:r>
    <w:r>
      <w:rPr>
        <w:sz w:val="20"/>
      </w:rPr>
      <w:t xml:space="preserve"> 18. srpna 2015</w:t>
    </w:r>
  </w:p>
  <w:p w:rsidR="007059F8" w:rsidRDefault="007059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49C"/>
    <w:multiLevelType w:val="hybridMultilevel"/>
    <w:tmpl w:val="AF3AB508"/>
    <w:lvl w:ilvl="0" w:tplc="28DE3B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18D2DBA"/>
    <w:multiLevelType w:val="hybridMultilevel"/>
    <w:tmpl w:val="E2A8DE46"/>
    <w:lvl w:ilvl="0" w:tplc="ECE00C6C">
      <w:start w:val="1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36E44F2"/>
    <w:multiLevelType w:val="hybridMultilevel"/>
    <w:tmpl w:val="26E69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8177FB"/>
    <w:multiLevelType w:val="hybridMultilevel"/>
    <w:tmpl w:val="BF5EFA44"/>
    <w:lvl w:ilvl="0" w:tplc="438EF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05844679"/>
    <w:multiLevelType w:val="hybridMultilevel"/>
    <w:tmpl w:val="130E68FE"/>
    <w:lvl w:ilvl="0" w:tplc="ACF01702">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61F08F0"/>
    <w:multiLevelType w:val="hybridMultilevel"/>
    <w:tmpl w:val="37B6BA0C"/>
    <w:lvl w:ilvl="0" w:tplc="0B32C89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8516C4"/>
    <w:multiLevelType w:val="hybridMultilevel"/>
    <w:tmpl w:val="C3C4B9BC"/>
    <w:lvl w:ilvl="0" w:tplc="32FAF0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0A1E405C"/>
    <w:multiLevelType w:val="hybridMultilevel"/>
    <w:tmpl w:val="C7EAEE54"/>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8">
    <w:nsid w:val="0F654362"/>
    <w:multiLevelType w:val="hybridMultilevel"/>
    <w:tmpl w:val="A3F47890"/>
    <w:lvl w:ilvl="0" w:tplc="354AD1A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1A699C"/>
    <w:multiLevelType w:val="hybridMultilevel"/>
    <w:tmpl w:val="9E06E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0440CD"/>
    <w:multiLevelType w:val="hybridMultilevel"/>
    <w:tmpl w:val="474A6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8F178E"/>
    <w:multiLevelType w:val="hybridMultilevel"/>
    <w:tmpl w:val="552A91DE"/>
    <w:lvl w:ilvl="0" w:tplc="47A630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4BE7B94"/>
    <w:multiLevelType w:val="multilevel"/>
    <w:tmpl w:val="5596BD06"/>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92" w:hanging="432"/>
      </w:pPr>
      <w:rPr>
        <w:rFonts w:hint="default"/>
        <w:strike w:val="0"/>
        <w:dstrike w:val="0"/>
      </w:rPr>
    </w:lvl>
    <w:lvl w:ilvl="2">
      <w:start w:val="1"/>
      <w:numFmt w:val="decimal"/>
      <w:lvlText w:val="%2.%3."/>
      <w:lvlJc w:val="left"/>
      <w:pPr>
        <w:tabs>
          <w:tab w:val="num" w:pos="0"/>
        </w:tabs>
        <w:ind w:left="1355"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14ED0198"/>
    <w:multiLevelType w:val="hybridMultilevel"/>
    <w:tmpl w:val="C9160688"/>
    <w:lvl w:ilvl="0" w:tplc="059A4F26">
      <w:start w:val="1"/>
      <w:numFmt w:val="upperRoman"/>
      <w:lvlText w:val="%1."/>
      <w:lvlJc w:val="left"/>
      <w:pPr>
        <w:ind w:left="780" w:hanging="72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4">
    <w:nsid w:val="17A425E6"/>
    <w:multiLevelType w:val="hybridMultilevel"/>
    <w:tmpl w:val="CC00AC28"/>
    <w:lvl w:ilvl="0" w:tplc="BB52B5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A975104"/>
    <w:multiLevelType w:val="hybridMultilevel"/>
    <w:tmpl w:val="A1FCF0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350D4A"/>
    <w:multiLevelType w:val="multilevel"/>
    <w:tmpl w:val="92E03C2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strike w:val="0"/>
        <w:dstrike w:val="0"/>
      </w:rPr>
    </w:lvl>
    <w:lvl w:ilvl="2">
      <w:start w:val="1"/>
      <w:numFmt w:val="decimal"/>
      <w:lvlText w:val="%2.%3."/>
      <w:lvlJc w:val="left"/>
      <w:pPr>
        <w:tabs>
          <w:tab w:val="num" w:pos="0"/>
        </w:tabs>
        <w:ind w:left="1355"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nsid w:val="252B14A0"/>
    <w:multiLevelType w:val="hybridMultilevel"/>
    <w:tmpl w:val="CB2E4AEC"/>
    <w:lvl w:ilvl="0" w:tplc="55C01BCC">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DD7E40"/>
    <w:multiLevelType w:val="hybridMultilevel"/>
    <w:tmpl w:val="62ACF9D6"/>
    <w:lvl w:ilvl="0" w:tplc="40741D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AE4222F"/>
    <w:multiLevelType w:val="hybridMultilevel"/>
    <w:tmpl w:val="BCC692C4"/>
    <w:lvl w:ilvl="0" w:tplc="45308E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2C3D5FE1"/>
    <w:multiLevelType w:val="hybridMultilevel"/>
    <w:tmpl w:val="64F20E58"/>
    <w:lvl w:ilvl="0" w:tplc="8C3A36A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5A7F30"/>
    <w:multiLevelType w:val="hybridMultilevel"/>
    <w:tmpl w:val="A0C2A8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ED438C9"/>
    <w:multiLevelType w:val="hybridMultilevel"/>
    <w:tmpl w:val="76C00880"/>
    <w:lvl w:ilvl="0" w:tplc="ECE00C6C">
      <w:start w:val="1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nsid w:val="2EF352A4"/>
    <w:multiLevelType w:val="hybridMultilevel"/>
    <w:tmpl w:val="3F2AB022"/>
    <w:lvl w:ilvl="0" w:tplc="D54684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215090E"/>
    <w:multiLevelType w:val="hybridMultilevel"/>
    <w:tmpl w:val="52CCC970"/>
    <w:lvl w:ilvl="0" w:tplc="0494FCA6">
      <w:start w:val="2"/>
      <w:numFmt w:val="upperRoman"/>
      <w:lvlText w:val="%1."/>
      <w:lvlJc w:val="left"/>
      <w:pPr>
        <w:tabs>
          <w:tab w:val="num" w:pos="1500"/>
        </w:tabs>
        <w:ind w:left="1500" w:hanging="720"/>
      </w:pPr>
    </w:lvl>
    <w:lvl w:ilvl="1" w:tplc="8A28C25C">
      <w:start w:val="1"/>
      <w:numFmt w:val="decimal"/>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5">
    <w:nsid w:val="3377072A"/>
    <w:multiLevelType w:val="hybridMultilevel"/>
    <w:tmpl w:val="13C6DD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4BC5938"/>
    <w:multiLevelType w:val="hybridMultilevel"/>
    <w:tmpl w:val="8E84EC9E"/>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7">
    <w:nsid w:val="35105BB6"/>
    <w:multiLevelType w:val="hybridMultilevel"/>
    <w:tmpl w:val="A2260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3D4B91"/>
    <w:multiLevelType w:val="hybridMultilevel"/>
    <w:tmpl w:val="7222242A"/>
    <w:lvl w:ilvl="0" w:tplc="3B266F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382177AD"/>
    <w:multiLevelType w:val="hybridMultilevel"/>
    <w:tmpl w:val="A22873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1D4A94"/>
    <w:multiLevelType w:val="hybridMultilevel"/>
    <w:tmpl w:val="5D8A08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2D3F29"/>
    <w:multiLevelType w:val="hybridMultilevel"/>
    <w:tmpl w:val="01BCCD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17D084C"/>
    <w:multiLevelType w:val="hybridMultilevel"/>
    <w:tmpl w:val="76D65F46"/>
    <w:lvl w:ilvl="0" w:tplc="DE68C46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3375DE0"/>
    <w:multiLevelType w:val="hybridMultilevel"/>
    <w:tmpl w:val="60C61CE2"/>
    <w:lvl w:ilvl="0" w:tplc="0409000F">
      <w:start w:val="2"/>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34">
    <w:nsid w:val="444416D6"/>
    <w:multiLevelType w:val="hybridMultilevel"/>
    <w:tmpl w:val="E706668A"/>
    <w:lvl w:ilvl="0" w:tplc="04050017">
      <w:start w:val="1"/>
      <w:numFmt w:val="lowerLetter"/>
      <w:lvlText w:val="%1)"/>
      <w:lvlJc w:val="left"/>
      <w:pPr>
        <w:ind w:left="1308" w:hanging="360"/>
      </w:pPr>
      <w:rPr>
        <w:rFonts w:hint="default"/>
      </w:rPr>
    </w:lvl>
    <w:lvl w:ilvl="1" w:tplc="04050019" w:tentative="1">
      <w:start w:val="1"/>
      <w:numFmt w:val="lowerLetter"/>
      <w:lvlText w:val="%2."/>
      <w:lvlJc w:val="left"/>
      <w:pPr>
        <w:ind w:left="2028" w:hanging="360"/>
      </w:pPr>
    </w:lvl>
    <w:lvl w:ilvl="2" w:tplc="0405001B" w:tentative="1">
      <w:start w:val="1"/>
      <w:numFmt w:val="lowerRoman"/>
      <w:lvlText w:val="%3."/>
      <w:lvlJc w:val="right"/>
      <w:pPr>
        <w:ind w:left="2748" w:hanging="180"/>
      </w:pPr>
    </w:lvl>
    <w:lvl w:ilvl="3" w:tplc="0405000F" w:tentative="1">
      <w:start w:val="1"/>
      <w:numFmt w:val="decimal"/>
      <w:lvlText w:val="%4."/>
      <w:lvlJc w:val="left"/>
      <w:pPr>
        <w:ind w:left="3468" w:hanging="360"/>
      </w:pPr>
    </w:lvl>
    <w:lvl w:ilvl="4" w:tplc="04050019" w:tentative="1">
      <w:start w:val="1"/>
      <w:numFmt w:val="lowerLetter"/>
      <w:lvlText w:val="%5."/>
      <w:lvlJc w:val="left"/>
      <w:pPr>
        <w:ind w:left="4188" w:hanging="360"/>
      </w:pPr>
    </w:lvl>
    <w:lvl w:ilvl="5" w:tplc="0405001B" w:tentative="1">
      <w:start w:val="1"/>
      <w:numFmt w:val="lowerRoman"/>
      <w:lvlText w:val="%6."/>
      <w:lvlJc w:val="right"/>
      <w:pPr>
        <w:ind w:left="4908" w:hanging="180"/>
      </w:pPr>
    </w:lvl>
    <w:lvl w:ilvl="6" w:tplc="0405000F" w:tentative="1">
      <w:start w:val="1"/>
      <w:numFmt w:val="decimal"/>
      <w:lvlText w:val="%7."/>
      <w:lvlJc w:val="left"/>
      <w:pPr>
        <w:ind w:left="5628" w:hanging="360"/>
      </w:pPr>
    </w:lvl>
    <w:lvl w:ilvl="7" w:tplc="04050019" w:tentative="1">
      <w:start w:val="1"/>
      <w:numFmt w:val="lowerLetter"/>
      <w:lvlText w:val="%8."/>
      <w:lvlJc w:val="left"/>
      <w:pPr>
        <w:ind w:left="6348" w:hanging="360"/>
      </w:pPr>
    </w:lvl>
    <w:lvl w:ilvl="8" w:tplc="0405001B" w:tentative="1">
      <w:start w:val="1"/>
      <w:numFmt w:val="lowerRoman"/>
      <w:lvlText w:val="%9."/>
      <w:lvlJc w:val="right"/>
      <w:pPr>
        <w:ind w:left="7068" w:hanging="180"/>
      </w:pPr>
    </w:lvl>
  </w:abstractNum>
  <w:abstractNum w:abstractNumId="35">
    <w:nsid w:val="4E2F18A1"/>
    <w:multiLevelType w:val="hybridMultilevel"/>
    <w:tmpl w:val="980809E8"/>
    <w:lvl w:ilvl="0" w:tplc="0A441B4C">
      <w:numFmt w:val="bullet"/>
      <w:lvlText w:val="-"/>
      <w:lvlJc w:val="left"/>
      <w:pPr>
        <w:ind w:left="1800" w:hanging="360"/>
      </w:pPr>
      <w:rPr>
        <w:rFonts w:ascii="Times New Roman" w:eastAsia="Times New Roman" w:hAnsi="Times New Roman" w:cs="Times New Roman" w:hint="default"/>
        <w:i/>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nsid w:val="55A71DEE"/>
    <w:multiLevelType w:val="hybridMultilevel"/>
    <w:tmpl w:val="6B6A1D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AE5261"/>
    <w:multiLevelType w:val="hybridMultilevel"/>
    <w:tmpl w:val="172C7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263EBB"/>
    <w:multiLevelType w:val="hybridMultilevel"/>
    <w:tmpl w:val="AED83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B11639F"/>
    <w:multiLevelType w:val="hybridMultilevel"/>
    <w:tmpl w:val="DD6CF6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2E6D9C"/>
    <w:multiLevelType w:val="hybridMultilevel"/>
    <w:tmpl w:val="7E5E38D8"/>
    <w:lvl w:ilvl="0" w:tplc="CAACBF96">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1">
    <w:nsid w:val="6E410CC1"/>
    <w:multiLevelType w:val="hybridMultilevel"/>
    <w:tmpl w:val="BC3839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3444BE2"/>
    <w:multiLevelType w:val="hybridMultilevel"/>
    <w:tmpl w:val="390E5F74"/>
    <w:lvl w:ilvl="0" w:tplc="B0C632E0">
      <w:start w:val="1"/>
      <w:numFmt w:val="bullet"/>
      <w:lvlText w:val="-"/>
      <w:lvlJc w:val="left"/>
      <w:pPr>
        <w:ind w:left="720" w:hanging="360"/>
      </w:pPr>
      <w:rPr>
        <w:rFonts w:ascii="Times New Roman" w:eastAsia="Calibri"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3C766E7"/>
    <w:multiLevelType w:val="hybridMultilevel"/>
    <w:tmpl w:val="BFACAB8A"/>
    <w:lvl w:ilvl="0" w:tplc="71D2DF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73F43B5D"/>
    <w:multiLevelType w:val="hybridMultilevel"/>
    <w:tmpl w:val="0F5EEAB6"/>
    <w:lvl w:ilvl="0" w:tplc="D86A0D08">
      <w:numFmt w:val="bullet"/>
      <w:lvlText w:val="-"/>
      <w:lvlJc w:val="left"/>
      <w:pPr>
        <w:tabs>
          <w:tab w:val="num" w:pos="420"/>
        </w:tabs>
        <w:ind w:left="4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4A817A4"/>
    <w:multiLevelType w:val="hybridMultilevel"/>
    <w:tmpl w:val="A97A529A"/>
    <w:lvl w:ilvl="0" w:tplc="8F4869E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nsid w:val="74FC3981"/>
    <w:multiLevelType w:val="hybridMultilevel"/>
    <w:tmpl w:val="8B06CBA2"/>
    <w:lvl w:ilvl="0" w:tplc="278A4F6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7">
    <w:nsid w:val="77610D36"/>
    <w:multiLevelType w:val="hybridMultilevel"/>
    <w:tmpl w:val="B484B5BC"/>
    <w:lvl w:ilvl="0" w:tplc="DF36978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nsid w:val="796C0972"/>
    <w:multiLevelType w:val="hybridMultilevel"/>
    <w:tmpl w:val="27565902"/>
    <w:lvl w:ilvl="0" w:tplc="22A0BC8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B21748F"/>
    <w:multiLevelType w:val="hybridMultilevel"/>
    <w:tmpl w:val="E01068EE"/>
    <w:lvl w:ilvl="0" w:tplc="40CAEA3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7F536EBC"/>
    <w:multiLevelType w:val="hybridMultilevel"/>
    <w:tmpl w:val="3120E870"/>
    <w:lvl w:ilvl="0" w:tplc="0300922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1"/>
  </w:num>
  <w:num w:numId="2">
    <w:abstractNumId w:val="43"/>
  </w:num>
  <w:num w:numId="3">
    <w:abstractNumId w:val="46"/>
  </w:num>
  <w:num w:numId="4">
    <w:abstractNumId w:val="37"/>
  </w:num>
  <w:num w:numId="5">
    <w:abstractNumId w:val="32"/>
  </w:num>
  <w:num w:numId="6">
    <w:abstractNumId w:val="40"/>
  </w:num>
  <w:num w:numId="7">
    <w:abstractNumId w:val="8"/>
  </w:num>
  <w:num w:numId="8">
    <w:abstractNumId w:val="2"/>
  </w:num>
  <w:num w:numId="9">
    <w:abstractNumId w:val="45"/>
  </w:num>
  <w:num w:numId="10">
    <w:abstractNumId w:val="23"/>
  </w:num>
  <w:num w:numId="11">
    <w:abstractNumId w:val="42"/>
  </w:num>
  <w:num w:numId="12">
    <w:abstractNumId w:val="20"/>
  </w:num>
  <w:num w:numId="13">
    <w:abstractNumId w:val="4"/>
  </w:num>
  <w:num w:numId="14">
    <w:abstractNumId w:val="49"/>
  </w:num>
  <w:num w:numId="15">
    <w:abstractNumId w:val="1"/>
  </w:num>
  <w:num w:numId="16">
    <w:abstractNumId w:val="22"/>
  </w:num>
  <w:num w:numId="17">
    <w:abstractNumId w:val="25"/>
  </w:num>
  <w:num w:numId="18">
    <w:abstractNumId w:val="7"/>
  </w:num>
  <w:num w:numId="19">
    <w:abstractNumId w:val="44"/>
  </w:num>
  <w:num w:numId="20">
    <w:abstractNumId w:val="48"/>
  </w:num>
  <w:num w:numId="21">
    <w:abstractNumId w:val="35"/>
  </w:num>
  <w:num w:numId="22">
    <w:abstractNumId w:val="18"/>
  </w:num>
  <w:num w:numId="23">
    <w:abstractNumId w:val="5"/>
  </w:num>
  <w:num w:numId="24">
    <w:abstractNumId w:val="26"/>
  </w:num>
  <w:num w:numId="25">
    <w:abstractNumId w:val="3"/>
  </w:num>
  <w:num w:numId="26">
    <w:abstractNumId w:val="6"/>
  </w:num>
  <w:num w:numId="27">
    <w:abstractNumId w:val="47"/>
  </w:num>
  <w:num w:numId="28">
    <w:abstractNumId w:val="34"/>
  </w:num>
  <w:num w:numId="29">
    <w:abstractNumId w:val="38"/>
  </w:num>
  <w:num w:numId="30">
    <w:abstractNumId w:val="15"/>
  </w:num>
  <w:num w:numId="31">
    <w:abstractNumId w:val="19"/>
  </w:num>
  <w:num w:numId="32">
    <w:abstractNumId w:val="36"/>
  </w:num>
  <w:num w:numId="33">
    <w:abstractNumId w:val="41"/>
  </w:num>
  <w:num w:numId="34">
    <w:abstractNumId w:val="27"/>
  </w:num>
  <w:num w:numId="35">
    <w:abstractNumId w:val="28"/>
  </w:num>
  <w:num w:numId="36">
    <w:abstractNumId w:val="10"/>
  </w:num>
  <w:num w:numId="37">
    <w:abstractNumId w:val="50"/>
  </w:num>
  <w:num w:numId="38">
    <w:abstractNumId w:val="31"/>
  </w:num>
  <w:num w:numId="39">
    <w:abstractNumId w:val="39"/>
  </w:num>
  <w:num w:numId="40">
    <w:abstractNumId w:val="30"/>
  </w:num>
  <w:num w:numId="41">
    <w:abstractNumId w:val="9"/>
  </w:num>
  <w:num w:numId="42">
    <w:abstractNumId w:val="21"/>
  </w:num>
  <w:num w:numId="43">
    <w:abstractNumId w:val="29"/>
  </w:num>
  <w:num w:numId="44">
    <w:abstractNumId w:val="0"/>
  </w:num>
  <w:num w:numId="45">
    <w:abstractNumId w:val="17"/>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6"/>
  </w:num>
  <w:num w:numId="51">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02493B"/>
    <w:rsid w:val="00024BC8"/>
    <w:rsid w:val="000531FF"/>
    <w:rsid w:val="00055F95"/>
    <w:rsid w:val="000609D8"/>
    <w:rsid w:val="00067D6C"/>
    <w:rsid w:val="00072EEB"/>
    <w:rsid w:val="0009056F"/>
    <w:rsid w:val="00090F12"/>
    <w:rsid w:val="000913AD"/>
    <w:rsid w:val="000C2F84"/>
    <w:rsid w:val="000F38CE"/>
    <w:rsid w:val="00146443"/>
    <w:rsid w:val="00174D1B"/>
    <w:rsid w:val="00180B83"/>
    <w:rsid w:val="001B6286"/>
    <w:rsid w:val="001D6212"/>
    <w:rsid w:val="001D6549"/>
    <w:rsid w:val="001E4F78"/>
    <w:rsid w:val="001F2D08"/>
    <w:rsid w:val="0024729B"/>
    <w:rsid w:val="0024793C"/>
    <w:rsid w:val="00251955"/>
    <w:rsid w:val="00291F7A"/>
    <w:rsid w:val="002A0464"/>
    <w:rsid w:val="002B169F"/>
    <w:rsid w:val="002C305B"/>
    <w:rsid w:val="002D33D4"/>
    <w:rsid w:val="002D64A9"/>
    <w:rsid w:val="00305297"/>
    <w:rsid w:val="0030775A"/>
    <w:rsid w:val="003119CC"/>
    <w:rsid w:val="00313AF1"/>
    <w:rsid w:val="00342B53"/>
    <w:rsid w:val="00343AEB"/>
    <w:rsid w:val="003541F4"/>
    <w:rsid w:val="00354631"/>
    <w:rsid w:val="003617E1"/>
    <w:rsid w:val="00384F88"/>
    <w:rsid w:val="003A29EB"/>
    <w:rsid w:val="003A49C5"/>
    <w:rsid w:val="003C1B23"/>
    <w:rsid w:val="003C6CEC"/>
    <w:rsid w:val="003D76DB"/>
    <w:rsid w:val="003E07D7"/>
    <w:rsid w:val="003E7EA7"/>
    <w:rsid w:val="0040191E"/>
    <w:rsid w:val="004023DE"/>
    <w:rsid w:val="0042264D"/>
    <w:rsid w:val="00425D4F"/>
    <w:rsid w:val="00435CB2"/>
    <w:rsid w:val="00445A55"/>
    <w:rsid w:val="0045010E"/>
    <w:rsid w:val="004655C2"/>
    <w:rsid w:val="0049237C"/>
    <w:rsid w:val="0049374C"/>
    <w:rsid w:val="004A766F"/>
    <w:rsid w:val="004F3DFD"/>
    <w:rsid w:val="00542193"/>
    <w:rsid w:val="005C53A0"/>
    <w:rsid w:val="005D18E9"/>
    <w:rsid w:val="005D3466"/>
    <w:rsid w:val="005D72AA"/>
    <w:rsid w:val="006464FC"/>
    <w:rsid w:val="00672B10"/>
    <w:rsid w:val="006A4A2D"/>
    <w:rsid w:val="006A5026"/>
    <w:rsid w:val="006C48A3"/>
    <w:rsid w:val="006D42E5"/>
    <w:rsid w:val="007059F8"/>
    <w:rsid w:val="0072016F"/>
    <w:rsid w:val="00737112"/>
    <w:rsid w:val="0077348B"/>
    <w:rsid w:val="00786E29"/>
    <w:rsid w:val="00790FD0"/>
    <w:rsid w:val="007C0145"/>
    <w:rsid w:val="007E177A"/>
    <w:rsid w:val="007E49BF"/>
    <w:rsid w:val="007E7D4E"/>
    <w:rsid w:val="007F0F3D"/>
    <w:rsid w:val="008034E9"/>
    <w:rsid w:val="008316F4"/>
    <w:rsid w:val="00844BC3"/>
    <w:rsid w:val="00857CD0"/>
    <w:rsid w:val="00860D7F"/>
    <w:rsid w:val="00871AC1"/>
    <w:rsid w:val="0088409C"/>
    <w:rsid w:val="008E2573"/>
    <w:rsid w:val="00905E92"/>
    <w:rsid w:val="00914583"/>
    <w:rsid w:val="00923B6E"/>
    <w:rsid w:val="009422D1"/>
    <w:rsid w:val="009979FD"/>
    <w:rsid w:val="009A1EAF"/>
    <w:rsid w:val="009B4C74"/>
    <w:rsid w:val="009C04C0"/>
    <w:rsid w:val="009C6B1C"/>
    <w:rsid w:val="009E303A"/>
    <w:rsid w:val="009E7BE7"/>
    <w:rsid w:val="00A062ED"/>
    <w:rsid w:val="00A10664"/>
    <w:rsid w:val="00A30CA6"/>
    <w:rsid w:val="00A4697F"/>
    <w:rsid w:val="00A71785"/>
    <w:rsid w:val="00A871E5"/>
    <w:rsid w:val="00AA08EF"/>
    <w:rsid w:val="00AA5DF6"/>
    <w:rsid w:val="00AB0DB4"/>
    <w:rsid w:val="00AB51DA"/>
    <w:rsid w:val="00AB5FBE"/>
    <w:rsid w:val="00AC2C07"/>
    <w:rsid w:val="00AE1D32"/>
    <w:rsid w:val="00B25C6D"/>
    <w:rsid w:val="00B31114"/>
    <w:rsid w:val="00B3727F"/>
    <w:rsid w:val="00B461FC"/>
    <w:rsid w:val="00B67E33"/>
    <w:rsid w:val="00B72051"/>
    <w:rsid w:val="00B73108"/>
    <w:rsid w:val="00B81514"/>
    <w:rsid w:val="00B819DA"/>
    <w:rsid w:val="00BB226B"/>
    <w:rsid w:val="00BB629B"/>
    <w:rsid w:val="00BC216A"/>
    <w:rsid w:val="00C02E20"/>
    <w:rsid w:val="00C2218E"/>
    <w:rsid w:val="00C22F0B"/>
    <w:rsid w:val="00C429ED"/>
    <w:rsid w:val="00C804C5"/>
    <w:rsid w:val="00C867FF"/>
    <w:rsid w:val="00CC1A9D"/>
    <w:rsid w:val="00CD77C3"/>
    <w:rsid w:val="00D33BD8"/>
    <w:rsid w:val="00D37D61"/>
    <w:rsid w:val="00D46C86"/>
    <w:rsid w:val="00D6572F"/>
    <w:rsid w:val="00D77401"/>
    <w:rsid w:val="00D9319D"/>
    <w:rsid w:val="00D94D24"/>
    <w:rsid w:val="00DA0118"/>
    <w:rsid w:val="00DB6730"/>
    <w:rsid w:val="00DE319B"/>
    <w:rsid w:val="00E27BBA"/>
    <w:rsid w:val="00E82D51"/>
    <w:rsid w:val="00E9127E"/>
    <w:rsid w:val="00E93907"/>
    <w:rsid w:val="00ED6C91"/>
    <w:rsid w:val="00F1205B"/>
    <w:rsid w:val="00F16A3D"/>
    <w:rsid w:val="00F31A0C"/>
    <w:rsid w:val="00F36F87"/>
    <w:rsid w:val="00F860FD"/>
    <w:rsid w:val="00FA3759"/>
    <w:rsid w:val="00FD5328"/>
    <w:rsid w:val="00FE7193"/>
    <w:rsid w:val="00FF7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F7A"/>
    <w:pPr>
      <w:spacing w:after="0" w:line="240" w:lineRule="auto"/>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semiHidden/>
    <w:unhideWhenUsed/>
    <w:qFormat/>
    <w:rsid w:val="00A30CA6"/>
    <w:pPr>
      <w:keepNext/>
      <w:ind w:firstLine="720"/>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44BC3"/>
    <w:pPr>
      <w:tabs>
        <w:tab w:val="left" w:pos="567"/>
        <w:tab w:val="left" w:pos="709"/>
        <w:tab w:val="left" w:pos="851"/>
        <w:tab w:val="left" w:pos="993"/>
      </w:tabs>
      <w:jc w:val="both"/>
    </w:pPr>
    <w:rPr>
      <w:rFonts w:eastAsiaTheme="minorHAnsi"/>
      <w:sz w:val="22"/>
      <w:szCs w:val="22"/>
      <w:lang w:eastAsia="en-US"/>
    </w:rPr>
  </w:style>
  <w:style w:type="paragraph" w:styleId="Odstavecseseznamem">
    <w:name w:val="List Paragraph"/>
    <w:basedOn w:val="Normln"/>
    <w:uiPriority w:val="34"/>
    <w:qFormat/>
    <w:rsid w:val="00F860FD"/>
    <w:pPr>
      <w:ind w:left="720" w:firstLine="720"/>
      <w:contextualSpacing/>
    </w:pPr>
    <w:rPr>
      <w:sz w:val="22"/>
    </w:rPr>
  </w:style>
  <w:style w:type="character" w:customStyle="1" w:styleId="vlevoChar">
    <w:name w:val="vlevo Char"/>
    <w:link w:val="vlevo"/>
    <w:locked/>
    <w:rsid w:val="00844BC3"/>
    <w:rPr>
      <w:rFonts w:ascii="Times New Roman" w:hAnsi="Times New Roman" w:cs="Times New Roman"/>
    </w:rPr>
  </w:style>
  <w:style w:type="paragraph" w:customStyle="1" w:styleId="Paragrafneslovan">
    <w:name w:val="Paragraf nečíslovaný"/>
    <w:basedOn w:val="Normln"/>
    <w:rsid w:val="00CC1A9D"/>
    <w:pPr>
      <w:tabs>
        <w:tab w:val="right" w:pos="8931"/>
      </w:tabs>
      <w:suppressAutoHyphens/>
      <w:ind w:firstLine="426"/>
      <w:jc w:val="both"/>
    </w:pPr>
    <w:rPr>
      <w:lang w:eastAsia="zh-CN"/>
    </w:rPr>
  </w:style>
  <w:style w:type="paragraph" w:styleId="Zkladntext">
    <w:name w:val="Body Text"/>
    <w:basedOn w:val="Normln"/>
    <w:link w:val="ZkladntextChar"/>
    <w:semiHidden/>
    <w:unhideWhenUsed/>
    <w:rsid w:val="009C6B1C"/>
  </w:style>
  <w:style w:type="character" w:customStyle="1" w:styleId="ZkladntextChar">
    <w:name w:val="Základní text Char"/>
    <w:basedOn w:val="Standardnpsmoodstavce"/>
    <w:link w:val="Zkladntext"/>
    <w:semiHidden/>
    <w:rsid w:val="009C6B1C"/>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5D346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D3466"/>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A30CA6"/>
    <w:pPr>
      <w:spacing w:after="120"/>
      <w:ind w:left="283"/>
    </w:pPr>
  </w:style>
  <w:style w:type="character" w:customStyle="1" w:styleId="ZkladntextodsazenChar">
    <w:name w:val="Základní text odsazený Char"/>
    <w:basedOn w:val="Standardnpsmoodstavce"/>
    <w:link w:val="Zkladntextodsazen"/>
    <w:uiPriority w:val="99"/>
    <w:semiHidden/>
    <w:rsid w:val="00A30CA6"/>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A30CA6"/>
    <w:rPr>
      <w:rFonts w:ascii="Times New Roman" w:eastAsia="Times New Roman" w:hAnsi="Times New Roman" w:cs="Times New Roman"/>
      <w:b/>
      <w:bCs/>
      <w:sz w:val="24"/>
      <w:szCs w:val="20"/>
      <w:lang w:eastAsia="cs-CZ"/>
    </w:rPr>
  </w:style>
  <w:style w:type="paragraph" w:styleId="Bezmezer">
    <w:name w:val="No Spacing"/>
    <w:uiPriority w:val="1"/>
    <w:qFormat/>
    <w:rsid w:val="003E7EA7"/>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226B"/>
    <w:rPr>
      <w:rFonts w:ascii="Tahoma" w:hAnsi="Tahoma" w:cs="Tahoma"/>
      <w:sz w:val="16"/>
      <w:szCs w:val="16"/>
    </w:rPr>
  </w:style>
  <w:style w:type="character" w:customStyle="1" w:styleId="TextbublinyChar">
    <w:name w:val="Text bubliny Char"/>
    <w:basedOn w:val="Standardnpsmoodstavce"/>
    <w:link w:val="Textbubliny"/>
    <w:uiPriority w:val="99"/>
    <w:semiHidden/>
    <w:rsid w:val="00BB226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F7A"/>
    <w:pPr>
      <w:spacing w:after="0" w:line="240" w:lineRule="auto"/>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semiHidden/>
    <w:unhideWhenUsed/>
    <w:qFormat/>
    <w:rsid w:val="00A30CA6"/>
    <w:pPr>
      <w:keepNext/>
      <w:ind w:firstLine="720"/>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44BC3"/>
    <w:pPr>
      <w:tabs>
        <w:tab w:val="left" w:pos="567"/>
        <w:tab w:val="left" w:pos="709"/>
        <w:tab w:val="left" w:pos="851"/>
        <w:tab w:val="left" w:pos="993"/>
      </w:tabs>
      <w:jc w:val="both"/>
    </w:pPr>
    <w:rPr>
      <w:rFonts w:eastAsiaTheme="minorHAnsi"/>
      <w:sz w:val="22"/>
      <w:szCs w:val="22"/>
      <w:lang w:eastAsia="en-US"/>
    </w:rPr>
  </w:style>
  <w:style w:type="paragraph" w:styleId="Odstavecseseznamem">
    <w:name w:val="List Paragraph"/>
    <w:basedOn w:val="Normln"/>
    <w:uiPriority w:val="34"/>
    <w:qFormat/>
    <w:rsid w:val="00F860FD"/>
    <w:pPr>
      <w:ind w:left="720" w:firstLine="720"/>
      <w:contextualSpacing/>
    </w:pPr>
    <w:rPr>
      <w:sz w:val="22"/>
    </w:rPr>
  </w:style>
  <w:style w:type="character" w:customStyle="1" w:styleId="vlevoChar">
    <w:name w:val="vlevo Char"/>
    <w:link w:val="vlevo"/>
    <w:locked/>
    <w:rsid w:val="00844BC3"/>
    <w:rPr>
      <w:rFonts w:ascii="Times New Roman" w:hAnsi="Times New Roman" w:cs="Times New Roman"/>
    </w:rPr>
  </w:style>
  <w:style w:type="paragraph" w:customStyle="1" w:styleId="Paragrafneslovan">
    <w:name w:val="Paragraf nečíslovaný"/>
    <w:basedOn w:val="Normln"/>
    <w:rsid w:val="00CC1A9D"/>
    <w:pPr>
      <w:tabs>
        <w:tab w:val="right" w:pos="8931"/>
      </w:tabs>
      <w:suppressAutoHyphens/>
      <w:ind w:firstLine="426"/>
      <w:jc w:val="both"/>
    </w:pPr>
    <w:rPr>
      <w:lang w:eastAsia="zh-CN"/>
    </w:rPr>
  </w:style>
  <w:style w:type="paragraph" w:styleId="Zkladntext">
    <w:name w:val="Body Text"/>
    <w:basedOn w:val="Normln"/>
    <w:link w:val="ZkladntextChar"/>
    <w:semiHidden/>
    <w:unhideWhenUsed/>
    <w:rsid w:val="009C6B1C"/>
  </w:style>
  <w:style w:type="character" w:customStyle="1" w:styleId="ZkladntextChar">
    <w:name w:val="Základní text Char"/>
    <w:basedOn w:val="Standardnpsmoodstavce"/>
    <w:link w:val="Zkladntext"/>
    <w:semiHidden/>
    <w:rsid w:val="009C6B1C"/>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5D346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D3466"/>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A30CA6"/>
    <w:pPr>
      <w:spacing w:after="120"/>
      <w:ind w:left="283"/>
    </w:pPr>
  </w:style>
  <w:style w:type="character" w:customStyle="1" w:styleId="ZkladntextodsazenChar">
    <w:name w:val="Základní text odsazený Char"/>
    <w:basedOn w:val="Standardnpsmoodstavce"/>
    <w:link w:val="Zkladntextodsazen"/>
    <w:uiPriority w:val="99"/>
    <w:semiHidden/>
    <w:rsid w:val="00A30CA6"/>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A30CA6"/>
    <w:rPr>
      <w:rFonts w:ascii="Times New Roman" w:eastAsia="Times New Roman" w:hAnsi="Times New Roman" w:cs="Times New Roman"/>
      <w:b/>
      <w:bCs/>
      <w:sz w:val="24"/>
      <w:szCs w:val="20"/>
      <w:lang w:eastAsia="cs-CZ"/>
    </w:rPr>
  </w:style>
  <w:style w:type="paragraph" w:styleId="Bezmezer">
    <w:name w:val="No Spacing"/>
    <w:uiPriority w:val="1"/>
    <w:qFormat/>
    <w:rsid w:val="003E7EA7"/>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226B"/>
    <w:rPr>
      <w:rFonts w:ascii="Tahoma" w:hAnsi="Tahoma" w:cs="Tahoma"/>
      <w:sz w:val="16"/>
      <w:szCs w:val="16"/>
    </w:rPr>
  </w:style>
  <w:style w:type="character" w:customStyle="1" w:styleId="TextbublinyChar">
    <w:name w:val="Text bubliny Char"/>
    <w:basedOn w:val="Standardnpsmoodstavce"/>
    <w:link w:val="Textbubliny"/>
    <w:uiPriority w:val="99"/>
    <w:semiHidden/>
    <w:rsid w:val="00BB226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453">
      <w:bodyDiv w:val="1"/>
      <w:marLeft w:val="0"/>
      <w:marRight w:val="0"/>
      <w:marTop w:val="0"/>
      <w:marBottom w:val="0"/>
      <w:divBdr>
        <w:top w:val="none" w:sz="0" w:space="0" w:color="auto"/>
        <w:left w:val="none" w:sz="0" w:space="0" w:color="auto"/>
        <w:bottom w:val="none" w:sz="0" w:space="0" w:color="auto"/>
        <w:right w:val="none" w:sz="0" w:space="0" w:color="auto"/>
      </w:divBdr>
    </w:div>
    <w:div w:id="112096225">
      <w:bodyDiv w:val="1"/>
      <w:marLeft w:val="0"/>
      <w:marRight w:val="0"/>
      <w:marTop w:val="0"/>
      <w:marBottom w:val="0"/>
      <w:divBdr>
        <w:top w:val="none" w:sz="0" w:space="0" w:color="auto"/>
        <w:left w:val="none" w:sz="0" w:space="0" w:color="auto"/>
        <w:bottom w:val="none" w:sz="0" w:space="0" w:color="auto"/>
        <w:right w:val="none" w:sz="0" w:space="0" w:color="auto"/>
      </w:divBdr>
    </w:div>
    <w:div w:id="268198073">
      <w:bodyDiv w:val="1"/>
      <w:marLeft w:val="0"/>
      <w:marRight w:val="0"/>
      <w:marTop w:val="0"/>
      <w:marBottom w:val="0"/>
      <w:divBdr>
        <w:top w:val="none" w:sz="0" w:space="0" w:color="auto"/>
        <w:left w:val="none" w:sz="0" w:space="0" w:color="auto"/>
        <w:bottom w:val="none" w:sz="0" w:space="0" w:color="auto"/>
        <w:right w:val="none" w:sz="0" w:space="0" w:color="auto"/>
      </w:divBdr>
    </w:div>
    <w:div w:id="472914375">
      <w:bodyDiv w:val="1"/>
      <w:marLeft w:val="0"/>
      <w:marRight w:val="0"/>
      <w:marTop w:val="0"/>
      <w:marBottom w:val="0"/>
      <w:divBdr>
        <w:top w:val="none" w:sz="0" w:space="0" w:color="auto"/>
        <w:left w:val="none" w:sz="0" w:space="0" w:color="auto"/>
        <w:bottom w:val="none" w:sz="0" w:space="0" w:color="auto"/>
        <w:right w:val="none" w:sz="0" w:space="0" w:color="auto"/>
      </w:divBdr>
    </w:div>
    <w:div w:id="507063296">
      <w:bodyDiv w:val="1"/>
      <w:marLeft w:val="0"/>
      <w:marRight w:val="0"/>
      <w:marTop w:val="0"/>
      <w:marBottom w:val="0"/>
      <w:divBdr>
        <w:top w:val="none" w:sz="0" w:space="0" w:color="auto"/>
        <w:left w:val="none" w:sz="0" w:space="0" w:color="auto"/>
        <w:bottom w:val="none" w:sz="0" w:space="0" w:color="auto"/>
        <w:right w:val="none" w:sz="0" w:space="0" w:color="auto"/>
      </w:divBdr>
    </w:div>
    <w:div w:id="907570865">
      <w:bodyDiv w:val="1"/>
      <w:marLeft w:val="0"/>
      <w:marRight w:val="0"/>
      <w:marTop w:val="0"/>
      <w:marBottom w:val="0"/>
      <w:divBdr>
        <w:top w:val="none" w:sz="0" w:space="0" w:color="auto"/>
        <w:left w:val="none" w:sz="0" w:space="0" w:color="auto"/>
        <w:bottom w:val="none" w:sz="0" w:space="0" w:color="auto"/>
        <w:right w:val="none" w:sz="0" w:space="0" w:color="auto"/>
      </w:divBdr>
    </w:div>
    <w:div w:id="1009986956">
      <w:bodyDiv w:val="1"/>
      <w:marLeft w:val="0"/>
      <w:marRight w:val="0"/>
      <w:marTop w:val="0"/>
      <w:marBottom w:val="0"/>
      <w:divBdr>
        <w:top w:val="none" w:sz="0" w:space="0" w:color="auto"/>
        <w:left w:val="none" w:sz="0" w:space="0" w:color="auto"/>
        <w:bottom w:val="none" w:sz="0" w:space="0" w:color="auto"/>
        <w:right w:val="none" w:sz="0" w:space="0" w:color="auto"/>
      </w:divBdr>
    </w:div>
    <w:div w:id="1097747272">
      <w:bodyDiv w:val="1"/>
      <w:marLeft w:val="0"/>
      <w:marRight w:val="0"/>
      <w:marTop w:val="0"/>
      <w:marBottom w:val="0"/>
      <w:divBdr>
        <w:top w:val="none" w:sz="0" w:space="0" w:color="auto"/>
        <w:left w:val="none" w:sz="0" w:space="0" w:color="auto"/>
        <w:bottom w:val="none" w:sz="0" w:space="0" w:color="auto"/>
        <w:right w:val="none" w:sz="0" w:space="0" w:color="auto"/>
      </w:divBdr>
    </w:div>
    <w:div w:id="1167748194">
      <w:bodyDiv w:val="1"/>
      <w:marLeft w:val="0"/>
      <w:marRight w:val="0"/>
      <w:marTop w:val="0"/>
      <w:marBottom w:val="0"/>
      <w:divBdr>
        <w:top w:val="none" w:sz="0" w:space="0" w:color="auto"/>
        <w:left w:val="none" w:sz="0" w:space="0" w:color="auto"/>
        <w:bottom w:val="none" w:sz="0" w:space="0" w:color="auto"/>
        <w:right w:val="none" w:sz="0" w:space="0" w:color="auto"/>
      </w:divBdr>
    </w:div>
    <w:div w:id="1423647225">
      <w:bodyDiv w:val="1"/>
      <w:marLeft w:val="0"/>
      <w:marRight w:val="0"/>
      <w:marTop w:val="0"/>
      <w:marBottom w:val="0"/>
      <w:divBdr>
        <w:top w:val="none" w:sz="0" w:space="0" w:color="auto"/>
        <w:left w:val="none" w:sz="0" w:space="0" w:color="auto"/>
        <w:bottom w:val="none" w:sz="0" w:space="0" w:color="auto"/>
        <w:right w:val="none" w:sz="0" w:space="0" w:color="auto"/>
      </w:divBdr>
    </w:div>
    <w:div w:id="1560021461">
      <w:bodyDiv w:val="1"/>
      <w:marLeft w:val="0"/>
      <w:marRight w:val="0"/>
      <w:marTop w:val="0"/>
      <w:marBottom w:val="0"/>
      <w:divBdr>
        <w:top w:val="none" w:sz="0" w:space="0" w:color="auto"/>
        <w:left w:val="none" w:sz="0" w:space="0" w:color="auto"/>
        <w:bottom w:val="none" w:sz="0" w:space="0" w:color="auto"/>
        <w:right w:val="none" w:sz="0" w:space="0" w:color="auto"/>
      </w:divBdr>
    </w:div>
    <w:div w:id="1753352779">
      <w:bodyDiv w:val="1"/>
      <w:marLeft w:val="0"/>
      <w:marRight w:val="0"/>
      <w:marTop w:val="0"/>
      <w:marBottom w:val="0"/>
      <w:divBdr>
        <w:top w:val="none" w:sz="0" w:space="0" w:color="auto"/>
        <w:left w:val="none" w:sz="0" w:space="0" w:color="auto"/>
        <w:bottom w:val="none" w:sz="0" w:space="0" w:color="auto"/>
        <w:right w:val="none" w:sz="0" w:space="0" w:color="auto"/>
      </w:divBdr>
    </w:div>
    <w:div w:id="18552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2194</Words>
  <Characters>12946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Jonáková Vladimíra</cp:lastModifiedBy>
  <cp:revision>143</cp:revision>
  <cp:lastPrinted>2015-08-20T08:48:00Z</cp:lastPrinted>
  <dcterms:created xsi:type="dcterms:W3CDTF">2015-08-11T11:24:00Z</dcterms:created>
  <dcterms:modified xsi:type="dcterms:W3CDTF">2015-08-21T10:04:00Z</dcterms:modified>
</cp:coreProperties>
</file>