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74" w:rsidRDefault="00145B74" w:rsidP="00145B74">
      <w:pPr>
        <w:pStyle w:val="Paragrafneslovan"/>
        <w:tabs>
          <w:tab w:val="left" w:pos="2977"/>
          <w:tab w:val="left" w:pos="6804"/>
        </w:tabs>
        <w:rPr>
          <w:b/>
          <w:sz w:val="28"/>
          <w:szCs w:val="28"/>
        </w:rPr>
      </w:pPr>
      <w:r>
        <w:t xml:space="preserve">   </w:t>
      </w:r>
      <w:proofErr w:type="gramStart"/>
      <w:r>
        <w:rPr>
          <w:b/>
          <w:sz w:val="28"/>
          <w:szCs w:val="28"/>
        </w:rPr>
        <w:t>D ů v o d o v á    z p r á v a</w:t>
      </w:r>
      <w:proofErr w:type="gramEnd"/>
    </w:p>
    <w:p w:rsidR="00145B74" w:rsidRDefault="00145B74" w:rsidP="00145B74">
      <w:pPr>
        <w:jc w:val="center"/>
        <w:rPr>
          <w:b/>
          <w:sz w:val="28"/>
          <w:szCs w:val="28"/>
        </w:rPr>
      </w:pPr>
    </w:p>
    <w:p w:rsidR="00145B74" w:rsidRDefault="00145B74" w:rsidP="00145B74">
      <w:pPr>
        <w:jc w:val="both"/>
        <w:rPr>
          <w:b/>
          <w:sz w:val="24"/>
          <w:szCs w:val="24"/>
        </w:rPr>
      </w:pPr>
      <w:r>
        <w:rPr>
          <w:b/>
          <w:sz w:val="24"/>
          <w:szCs w:val="24"/>
        </w:rPr>
        <w:t>1. Název problému a jeho charakteristika</w:t>
      </w:r>
    </w:p>
    <w:p w:rsidR="00145B74" w:rsidRDefault="00145B74" w:rsidP="00145B74">
      <w:pPr>
        <w:ind w:left="284"/>
        <w:jc w:val="both"/>
        <w:rPr>
          <w:sz w:val="24"/>
          <w:szCs w:val="24"/>
        </w:rPr>
      </w:pPr>
      <w:r>
        <w:rPr>
          <w:sz w:val="24"/>
          <w:szCs w:val="24"/>
        </w:rPr>
        <w:t xml:space="preserve">Na základě návrhu funkční strategie Městské policie, předloženou současným velitelem MP jako součást výběrového řízení na tuto pozici, byla vypracována nová střednědobá koncepce řízení Městské policie Plzeň pro období let 2016 - 2018, zohledňující priority zřizovatele na municipální úrovni v bezpečnostní oblasti. Tento dokument je systémově podpořen změnou Organizačního řádu Městské policie Plzeň, který byl schválen usnesením Rady města Plzně č. 895 ze dne 13. 8. 2015 s účinností od 1. 10. 2015.  </w:t>
      </w:r>
    </w:p>
    <w:p w:rsidR="00145B74" w:rsidRDefault="00145B74" w:rsidP="00145B74">
      <w:pPr>
        <w:ind w:left="284"/>
        <w:jc w:val="both"/>
        <w:rPr>
          <w:sz w:val="24"/>
          <w:szCs w:val="24"/>
        </w:rPr>
      </w:pPr>
    </w:p>
    <w:p w:rsidR="00145B74" w:rsidRDefault="00145B74" w:rsidP="00145B74">
      <w:pPr>
        <w:jc w:val="both"/>
        <w:rPr>
          <w:b/>
          <w:sz w:val="24"/>
          <w:szCs w:val="24"/>
        </w:rPr>
      </w:pPr>
      <w:r>
        <w:rPr>
          <w:b/>
          <w:sz w:val="24"/>
          <w:szCs w:val="24"/>
        </w:rPr>
        <w:t xml:space="preserve">2. Konstatování současného stavu a jeho analýza     </w:t>
      </w:r>
    </w:p>
    <w:p w:rsidR="00145B74" w:rsidRDefault="00145B74" w:rsidP="00145B74">
      <w:pPr>
        <w:ind w:left="284"/>
        <w:jc w:val="both"/>
        <w:rPr>
          <w:sz w:val="24"/>
          <w:szCs w:val="24"/>
        </w:rPr>
      </w:pPr>
      <w:r>
        <w:rPr>
          <w:sz w:val="24"/>
          <w:szCs w:val="24"/>
        </w:rPr>
        <w:t>Městská policie Plzeň je v současné době vnímána občany města především jako represivní složka se zaměřením na oblast tzv. dopravy v klidu.</w:t>
      </w:r>
    </w:p>
    <w:p w:rsidR="00145B74" w:rsidRDefault="00145B74" w:rsidP="00145B74">
      <w:pPr>
        <w:ind w:left="284"/>
        <w:jc w:val="both"/>
        <w:rPr>
          <w:sz w:val="24"/>
          <w:szCs w:val="24"/>
        </w:rPr>
      </w:pPr>
      <w:r>
        <w:rPr>
          <w:sz w:val="24"/>
          <w:szCs w:val="24"/>
        </w:rPr>
        <w:t xml:space="preserve">Personálním stavem 250 strážníků Městské policie Plzeň nebylo možno reálně pokrýt požadavky zřizovatele zejména ve vztahu k projektu „Bezpečné město.“ Ten v minulosti rozdělil město na 63 okrsků a každý z těchto okrsků měl mít přiděleného svého okrskového strážníka. Ti však vykonávali hlídkovou činnost v rámci působnosti celé služebny, kam byli přiděleni a z důvodu celkového vytížení hlídek se do určených okrsků dostávali spíše sporadicky.  </w:t>
      </w:r>
    </w:p>
    <w:p w:rsidR="00145B74" w:rsidRDefault="00145B74" w:rsidP="00145B74">
      <w:pPr>
        <w:ind w:left="284"/>
        <w:jc w:val="both"/>
        <w:rPr>
          <w:sz w:val="24"/>
          <w:szCs w:val="24"/>
        </w:rPr>
      </w:pPr>
      <w:r>
        <w:rPr>
          <w:sz w:val="24"/>
          <w:szCs w:val="24"/>
        </w:rPr>
        <w:t xml:space="preserve">V předchozích letech byly na městskou policii zřizovatelem direktivně kladeny požadavky na zajištění fakultativních speciálních činností, (např. pult centralizované ochrany, tísňová tlačítka pro seniory, převozy podnapilých na PAZS, odchyty toulavých zvířat, sběr </w:t>
      </w:r>
      <w:proofErr w:type="spellStart"/>
      <w:r>
        <w:rPr>
          <w:sz w:val="24"/>
          <w:szCs w:val="24"/>
        </w:rPr>
        <w:t>kadaverů</w:t>
      </w:r>
      <w:proofErr w:type="spellEnd"/>
      <w:r>
        <w:rPr>
          <w:sz w:val="24"/>
          <w:szCs w:val="24"/>
        </w:rPr>
        <w:t xml:space="preserve"> na území města, zřízení skupiny psovodů, posílení oddělení analýzy a prevence kriminality, zřízení stanice odtahů vozidel, zřízení stanice územně strážní služby se zaměřením na asociální osoby a osoby bez domova, veřejnoprávní smlouvy Dobřany, Třemošná), avšak bez navýšení početního stavu strážníků a dostatečných kompenzací v rozpočtu Městské policie. Tyto činnosti v současné době zajišťuje 55 strážníků, což je počet, o který jsou pokráceny stavy na ostatních obvodních služebnách městské policie. </w:t>
      </w:r>
    </w:p>
    <w:p w:rsidR="00145B74" w:rsidRDefault="00145B74" w:rsidP="00145B74">
      <w:pPr>
        <w:ind w:left="284"/>
        <w:jc w:val="both"/>
        <w:rPr>
          <w:sz w:val="24"/>
          <w:szCs w:val="24"/>
        </w:rPr>
      </w:pPr>
      <w:r>
        <w:rPr>
          <w:sz w:val="24"/>
          <w:szCs w:val="24"/>
        </w:rPr>
        <w:t>Práce strážníků v přímém výkonu služby je také nad rámec zákona zaplevelena dalšími činnostmi, které omezují možnost přímého výkonu služby v terénu. Jedná se zejména o doručování písemností, zjišťování místa bydliště zájmových osob orgánům veřejné moci, zajištění nezúčastněných osob pro potřeby PČR, bezpečnostní ostraha v okolí i uvnitř budov ve správě města apod.</w:t>
      </w:r>
    </w:p>
    <w:p w:rsidR="00145B74" w:rsidRDefault="00145B74" w:rsidP="00145B74">
      <w:pPr>
        <w:ind w:left="284"/>
        <w:jc w:val="both"/>
        <w:rPr>
          <w:sz w:val="24"/>
          <w:szCs w:val="24"/>
        </w:rPr>
      </w:pPr>
      <w:r>
        <w:rPr>
          <w:sz w:val="24"/>
          <w:szCs w:val="24"/>
        </w:rPr>
        <w:t>MP nedisponuje v legislativní oblasti, kam většina její činnosti spadá, kvalifikovanou silou, jež by tyto potřeby zajišťovala. Na tyto služby konzultačně využívá právní oddělení magistrátu nebo jsou nakupovány prostřednictvím</w:t>
      </w:r>
      <w:r>
        <w:rPr>
          <w:rFonts w:ascii="Arial" w:hAnsi="Arial" w:cs="Arial"/>
          <w:b/>
          <w:bCs/>
          <w:sz w:val="19"/>
          <w:szCs w:val="19"/>
        </w:rPr>
        <w:t xml:space="preserve"> </w:t>
      </w:r>
      <w:proofErr w:type="spellStart"/>
      <w:r>
        <w:rPr>
          <w:sz w:val="24"/>
          <w:szCs w:val="24"/>
        </w:rPr>
        <w:t>outsorcingových</w:t>
      </w:r>
      <w:proofErr w:type="spellEnd"/>
      <w:r>
        <w:rPr>
          <w:sz w:val="24"/>
          <w:szCs w:val="24"/>
        </w:rPr>
        <w:t xml:space="preserve"> služeb.</w:t>
      </w:r>
    </w:p>
    <w:p w:rsidR="00145B74" w:rsidRDefault="00145B74" w:rsidP="00145B74">
      <w:pPr>
        <w:ind w:left="284"/>
        <w:jc w:val="both"/>
        <w:rPr>
          <w:sz w:val="24"/>
          <w:szCs w:val="24"/>
        </w:rPr>
      </w:pPr>
      <w:r>
        <w:rPr>
          <w:sz w:val="24"/>
          <w:szCs w:val="24"/>
        </w:rPr>
        <w:t xml:space="preserve">MP je v prostředí trhu práce v regionu při náboru nových zaměstnanců v současnosti limitována konkurenty (PČR, Armáda) jež nabízejí vyšší sociální zajištění (výsluha, náborové příspěvky, příspěvky na bydlení apod.) a vyšší nástupní platy. Nástupní plat strážníka čekatele ve středním věku činní cca 12 000,- Kč hrubého.  </w:t>
      </w:r>
    </w:p>
    <w:p w:rsidR="00145B74" w:rsidRDefault="00145B74" w:rsidP="00145B74">
      <w:pPr>
        <w:ind w:left="284"/>
        <w:jc w:val="both"/>
        <w:rPr>
          <w:sz w:val="24"/>
          <w:szCs w:val="24"/>
        </w:rPr>
      </w:pPr>
      <w:r>
        <w:rPr>
          <w:sz w:val="24"/>
          <w:szCs w:val="24"/>
        </w:rPr>
        <w:t xml:space="preserve">  </w:t>
      </w:r>
    </w:p>
    <w:p w:rsidR="00145B74" w:rsidRDefault="00145B74" w:rsidP="00145B74">
      <w:pPr>
        <w:jc w:val="both"/>
        <w:rPr>
          <w:b/>
          <w:sz w:val="24"/>
          <w:szCs w:val="24"/>
        </w:rPr>
      </w:pPr>
      <w:r>
        <w:rPr>
          <w:b/>
          <w:sz w:val="24"/>
          <w:szCs w:val="24"/>
        </w:rPr>
        <w:t>3. Předpokládaný cílový stav</w:t>
      </w:r>
    </w:p>
    <w:p w:rsidR="00145B74" w:rsidRDefault="00145B74" w:rsidP="00145B74">
      <w:pPr>
        <w:ind w:left="284"/>
        <w:jc w:val="both"/>
        <w:rPr>
          <w:sz w:val="24"/>
          <w:szCs w:val="24"/>
        </w:rPr>
      </w:pPr>
      <w:r>
        <w:rPr>
          <w:sz w:val="24"/>
          <w:szCs w:val="24"/>
        </w:rPr>
        <w:t xml:space="preserve">Strážník je vnímán jako garant bezpečí a partner občanů, jeho činnost je prioritně zaměřena do oblasti veřejného pořádku na území města. K této činnosti je systematicky veden a motivován prvky přímé i nepřímé motivace, jež tvoří ucelený systém hodnocení každého zaměstnance. Vedoucí pracovníci na všech úrovních řízení prosazují filozofii, která upouští od řízení podle cílů a upřednostňuje řízení podle hodnot.  </w:t>
      </w:r>
    </w:p>
    <w:p w:rsidR="00145B74" w:rsidRDefault="00145B74" w:rsidP="00145B74">
      <w:pPr>
        <w:ind w:left="284"/>
        <w:jc w:val="both"/>
        <w:rPr>
          <w:sz w:val="24"/>
          <w:szCs w:val="24"/>
        </w:rPr>
      </w:pPr>
      <w:r>
        <w:rPr>
          <w:sz w:val="24"/>
          <w:szCs w:val="24"/>
        </w:rPr>
        <w:t xml:space="preserve">Navýšení početního stavu MP o 30 atestovaných strážníků. Lokace okrsků projektu Bezpečné město bude restrukturalizována na počet 30, tak aby bylo možno dodržet </w:t>
      </w:r>
      <w:r>
        <w:rPr>
          <w:sz w:val="24"/>
          <w:szCs w:val="24"/>
        </w:rPr>
        <w:lastRenderedPageBreak/>
        <w:t xml:space="preserve">filozofii projektu a dosáhnout cílového stavu, tedy že každý okrsek má svého strážníka. Pro pozici okrskového strážníka budou vybráni služebně starší a zkušení strážníci.   </w:t>
      </w:r>
    </w:p>
    <w:p w:rsidR="00145B74" w:rsidRDefault="00145B74" w:rsidP="00145B74">
      <w:pPr>
        <w:ind w:left="284"/>
        <w:jc w:val="both"/>
        <w:rPr>
          <w:sz w:val="24"/>
          <w:szCs w:val="24"/>
        </w:rPr>
      </w:pPr>
      <w:r>
        <w:rPr>
          <w:sz w:val="24"/>
          <w:szCs w:val="24"/>
        </w:rPr>
        <w:t>Řízení poskytovaných služeb bude diverzifikováno na činnosti, které je nutno zajišťovat atestovanými strážníky a činnosti, na které není potřeba kvalifikované síly strážníka. Vytvořením nových pracovních míst z prostředků dotačního titulu Úřadu práce (společensky účelné pracovní místo) na pozici „asistent Městské policie Plzeň“ budou pokryty požadavky na výkon činností, na které dle zákona</w:t>
      </w:r>
      <w:r>
        <w:rPr>
          <w:rStyle w:val="Znakapoznpodarou"/>
          <w:sz w:val="24"/>
          <w:szCs w:val="24"/>
        </w:rPr>
        <w:footnoteReference w:id="1"/>
      </w:r>
      <w:r>
        <w:rPr>
          <w:sz w:val="24"/>
          <w:szCs w:val="24"/>
        </w:rPr>
        <w:t xml:space="preserve"> není nutno využívat kvalifikované pracovní síly strážníka. </w:t>
      </w:r>
      <w:proofErr w:type="spellStart"/>
      <w:r>
        <w:rPr>
          <w:sz w:val="24"/>
          <w:szCs w:val="24"/>
        </w:rPr>
        <w:t>Odbřemeněním</w:t>
      </w:r>
      <w:proofErr w:type="spellEnd"/>
      <w:r>
        <w:rPr>
          <w:sz w:val="24"/>
          <w:szCs w:val="24"/>
        </w:rPr>
        <w:t xml:space="preserve"> od těchto činností (viz. Příloha č. 2, Organizační řád MP, čl. 16.21), dojde k celkovému zefektivnění činnosti atestovaných strážníků.</w:t>
      </w:r>
    </w:p>
    <w:p w:rsidR="00145B74" w:rsidRDefault="00145B74" w:rsidP="00145B74">
      <w:pPr>
        <w:ind w:left="284"/>
        <w:jc w:val="both"/>
        <w:rPr>
          <w:sz w:val="24"/>
          <w:szCs w:val="24"/>
        </w:rPr>
      </w:pPr>
      <w:r>
        <w:rPr>
          <w:sz w:val="24"/>
          <w:szCs w:val="24"/>
        </w:rPr>
        <w:t xml:space="preserve">Bude zřízeno pracovní místo na pozici zaměstnance odpovědného za legislativu Pracovní náplň je uvedena (viz. Příloha č. 1, Organizační řád MP, čl. 8.6). </w:t>
      </w:r>
    </w:p>
    <w:p w:rsidR="00145B74" w:rsidRDefault="00145B74" w:rsidP="00145B74">
      <w:pPr>
        <w:ind w:left="284"/>
        <w:jc w:val="both"/>
        <w:rPr>
          <w:sz w:val="24"/>
          <w:szCs w:val="24"/>
        </w:rPr>
      </w:pPr>
      <w:r>
        <w:rPr>
          <w:sz w:val="24"/>
          <w:szCs w:val="24"/>
        </w:rPr>
        <w:t xml:space="preserve">Navrhovaná úprava využívá změnu v nařízení vlády č. 564/2006 Sb., (dle přílohy č. 10 jsou do skupiny IV. – práce s nejvyšší mírou neuropsychické zátěže a práce s vysokým rizikem ohrožení života a zdraví zařazeny práce vykonávané strážníky obecní policie spojené s ochranou a zajišťování veřejného pořádku, pokud při nich může dojít k ohrožení života, zdraví nebo jiným závažným rizikům při zabezpečování místních záležitostí veřejného pořádku), jíž byla posunuta horní hranice tohoto příplatku na částku 6 000,- Kč. Toto opatření spolu se souborem benefitů jež jsou zapracovány v kolektivní smlouvě, zvyšuje konkurence schopnost organizace na trhu práce při náboru nových zaměstnanců a dále povede k celkové stabilizaci personálního stavu.  </w:t>
      </w:r>
    </w:p>
    <w:p w:rsidR="00145B74" w:rsidRDefault="00145B74" w:rsidP="00145B74">
      <w:pPr>
        <w:jc w:val="both"/>
        <w:rPr>
          <w:sz w:val="24"/>
          <w:szCs w:val="24"/>
        </w:rPr>
      </w:pPr>
    </w:p>
    <w:p w:rsidR="00145B74" w:rsidRDefault="00145B74" w:rsidP="00145B74">
      <w:pPr>
        <w:jc w:val="both"/>
        <w:rPr>
          <w:b/>
          <w:sz w:val="24"/>
          <w:szCs w:val="24"/>
        </w:rPr>
      </w:pPr>
      <w:r>
        <w:rPr>
          <w:b/>
          <w:sz w:val="24"/>
          <w:szCs w:val="24"/>
        </w:rPr>
        <w:t>4. Navrhované varianty řešení</w:t>
      </w:r>
    </w:p>
    <w:p w:rsidR="00145B74" w:rsidRDefault="00145B74" w:rsidP="00145B74">
      <w:pPr>
        <w:ind w:left="284"/>
        <w:jc w:val="both"/>
        <w:rPr>
          <w:sz w:val="24"/>
          <w:szCs w:val="24"/>
        </w:rPr>
      </w:pPr>
      <w:r>
        <w:rPr>
          <w:sz w:val="24"/>
          <w:szCs w:val="24"/>
        </w:rPr>
        <w:t>Není variantní</w:t>
      </w:r>
    </w:p>
    <w:p w:rsidR="00145B74" w:rsidRDefault="00145B74" w:rsidP="00145B74">
      <w:pPr>
        <w:ind w:left="284"/>
        <w:jc w:val="both"/>
        <w:rPr>
          <w:sz w:val="24"/>
          <w:szCs w:val="24"/>
        </w:rPr>
      </w:pPr>
    </w:p>
    <w:p w:rsidR="00145B74" w:rsidRDefault="00145B74" w:rsidP="00145B74">
      <w:pPr>
        <w:jc w:val="both"/>
        <w:rPr>
          <w:b/>
          <w:sz w:val="24"/>
          <w:szCs w:val="24"/>
        </w:rPr>
      </w:pPr>
      <w:r>
        <w:rPr>
          <w:b/>
          <w:sz w:val="24"/>
          <w:szCs w:val="24"/>
        </w:rPr>
        <w:t>5. Doporučená varianta řešení</w:t>
      </w:r>
    </w:p>
    <w:p w:rsidR="00145B74" w:rsidRDefault="00145B74" w:rsidP="00145B74">
      <w:pPr>
        <w:ind w:left="284"/>
        <w:jc w:val="both"/>
        <w:rPr>
          <w:sz w:val="24"/>
          <w:szCs w:val="24"/>
        </w:rPr>
      </w:pPr>
      <w:r>
        <w:rPr>
          <w:sz w:val="24"/>
          <w:szCs w:val="24"/>
        </w:rPr>
        <w:t>Není variantní</w:t>
      </w:r>
    </w:p>
    <w:p w:rsidR="00145B74" w:rsidRDefault="00145B74" w:rsidP="00145B74">
      <w:pPr>
        <w:jc w:val="both"/>
        <w:rPr>
          <w:sz w:val="24"/>
          <w:szCs w:val="24"/>
        </w:rPr>
      </w:pPr>
    </w:p>
    <w:p w:rsidR="00145B74" w:rsidRDefault="00145B74" w:rsidP="00145B74">
      <w:pPr>
        <w:numPr>
          <w:ilvl w:val="0"/>
          <w:numId w:val="1"/>
        </w:numPr>
        <w:jc w:val="both"/>
        <w:rPr>
          <w:b/>
          <w:sz w:val="24"/>
          <w:szCs w:val="24"/>
        </w:rPr>
      </w:pPr>
      <w:r>
        <w:rPr>
          <w:b/>
          <w:sz w:val="24"/>
          <w:szCs w:val="24"/>
        </w:rPr>
        <w:t>Finanční nároky řešení a možnosti finančního krytí (včetně všech následných například provozních nákladů)</w:t>
      </w:r>
    </w:p>
    <w:p w:rsidR="00145B74" w:rsidRDefault="00145B74" w:rsidP="00145B74">
      <w:pPr>
        <w:ind w:left="283"/>
        <w:jc w:val="both"/>
        <w:rPr>
          <w:b/>
          <w:sz w:val="24"/>
          <w:szCs w:val="24"/>
        </w:rPr>
      </w:pPr>
    </w:p>
    <w:p w:rsidR="00145B74" w:rsidRDefault="00145B74" w:rsidP="00145B74">
      <w:pPr>
        <w:jc w:val="both"/>
        <w:rPr>
          <w:sz w:val="24"/>
          <w:szCs w:val="24"/>
        </w:rPr>
      </w:pPr>
      <w:r>
        <w:rPr>
          <w:sz w:val="24"/>
          <w:szCs w:val="24"/>
        </w:rPr>
        <w:t xml:space="preserve">     Finanční nároky na rozpočet Městské policie Plzeň jsou vyčísleny:</w:t>
      </w:r>
    </w:p>
    <w:p w:rsidR="00145B74" w:rsidRDefault="00145B74" w:rsidP="00145B74">
      <w:pPr>
        <w:pStyle w:val="Odstavecseseznamem"/>
        <w:ind w:left="283"/>
        <w:jc w:val="both"/>
        <w:rPr>
          <w:sz w:val="24"/>
          <w:szCs w:val="24"/>
        </w:rPr>
      </w:pPr>
    </w:p>
    <w:p w:rsidR="00145B74" w:rsidRDefault="00145B74" w:rsidP="00145B74">
      <w:pPr>
        <w:jc w:val="both"/>
        <w:rPr>
          <w:sz w:val="24"/>
          <w:szCs w:val="24"/>
        </w:rPr>
      </w:pPr>
      <w:r>
        <w:rPr>
          <w:sz w:val="24"/>
          <w:szCs w:val="24"/>
        </w:rPr>
        <w:t xml:space="preserve">     Navýšení počtu o 30 okrskových strážníků</w:t>
      </w:r>
    </w:p>
    <w:tbl>
      <w:tblPr>
        <w:tblStyle w:val="Mkatabulky"/>
        <w:tblW w:w="8787" w:type="dxa"/>
        <w:tblInd w:w="283" w:type="dxa"/>
        <w:tblLook w:val="04A0" w:firstRow="1" w:lastRow="0" w:firstColumn="1" w:lastColumn="0" w:noHBand="0" w:noVBand="1"/>
      </w:tblPr>
      <w:tblGrid>
        <w:gridCol w:w="3345"/>
        <w:gridCol w:w="2721"/>
        <w:gridCol w:w="2721"/>
      </w:tblGrid>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Údaje v tis. Kč</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Rok 2016</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Další roky</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Platy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9.704</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10.586</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Zákonné pojištění</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3.574</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3.899</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Vyplacené náhrady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69</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76</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Materiál, energie</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3.023</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690</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Nákup služeb</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347</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369</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Ostatní výdaje</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48</w:t>
            </w:r>
          </w:p>
        </w:tc>
        <w:tc>
          <w:tcPr>
            <w:tcW w:w="2721" w:type="dxa"/>
            <w:tcBorders>
              <w:top w:val="single" w:sz="4" w:space="0" w:color="auto"/>
              <w:left w:val="single" w:sz="4" w:space="0" w:color="auto"/>
              <w:bottom w:val="single" w:sz="4" w:space="0" w:color="auto"/>
              <w:right w:val="single" w:sz="4" w:space="0" w:color="auto"/>
            </w:tcBorders>
          </w:tcPr>
          <w:p w:rsidR="00145B74" w:rsidRDefault="00145B74">
            <w:pPr>
              <w:jc w:val="center"/>
              <w:rPr>
                <w:sz w:val="24"/>
                <w:szCs w:val="24"/>
                <w:lang w:eastAsia="en-US"/>
              </w:rPr>
            </w:pP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Dopravní prostředky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1.719</w:t>
            </w:r>
          </w:p>
        </w:tc>
        <w:tc>
          <w:tcPr>
            <w:tcW w:w="2721" w:type="dxa"/>
            <w:tcBorders>
              <w:top w:val="single" w:sz="4" w:space="0" w:color="auto"/>
              <w:left w:val="single" w:sz="4" w:space="0" w:color="auto"/>
              <w:bottom w:val="single" w:sz="4" w:space="0" w:color="auto"/>
              <w:right w:val="single" w:sz="4" w:space="0" w:color="auto"/>
            </w:tcBorders>
          </w:tcPr>
          <w:p w:rsidR="00145B74" w:rsidRDefault="00145B74">
            <w:pPr>
              <w:jc w:val="center"/>
              <w:rPr>
                <w:sz w:val="24"/>
                <w:szCs w:val="24"/>
                <w:lang w:eastAsia="en-US"/>
              </w:rPr>
            </w:pP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Příspěvek do SF (7% z mezd)</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679</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741</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Celkem výdaje vč. SF</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19.163</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16.361</w:t>
            </w:r>
          </w:p>
        </w:tc>
      </w:tr>
    </w:tbl>
    <w:p w:rsidR="00145B74" w:rsidRDefault="00145B74" w:rsidP="00145B74">
      <w:pPr>
        <w:pStyle w:val="Odstavecseseznamem"/>
        <w:ind w:left="283"/>
        <w:jc w:val="both"/>
        <w:rPr>
          <w:sz w:val="24"/>
          <w:szCs w:val="24"/>
        </w:rPr>
      </w:pPr>
    </w:p>
    <w:p w:rsidR="00145B74" w:rsidRDefault="00145B74" w:rsidP="00145B74">
      <w:pPr>
        <w:pStyle w:val="Odstavecseseznamem"/>
        <w:ind w:left="283"/>
        <w:jc w:val="both"/>
        <w:rPr>
          <w:sz w:val="24"/>
          <w:szCs w:val="24"/>
        </w:rPr>
      </w:pPr>
    </w:p>
    <w:p w:rsidR="00145B74" w:rsidRDefault="00145B74" w:rsidP="00145B74">
      <w:pPr>
        <w:pStyle w:val="Odstavecseseznamem"/>
        <w:ind w:left="283"/>
        <w:jc w:val="both"/>
        <w:rPr>
          <w:sz w:val="24"/>
          <w:szCs w:val="24"/>
        </w:rPr>
      </w:pPr>
    </w:p>
    <w:p w:rsidR="00145B74" w:rsidRDefault="00145B74" w:rsidP="00145B74">
      <w:pPr>
        <w:pStyle w:val="Odstavecseseznamem"/>
        <w:ind w:left="283"/>
        <w:jc w:val="both"/>
        <w:rPr>
          <w:sz w:val="24"/>
          <w:szCs w:val="24"/>
        </w:rPr>
      </w:pPr>
    </w:p>
    <w:p w:rsidR="00145B74" w:rsidRDefault="00145B74" w:rsidP="00145B74">
      <w:pPr>
        <w:jc w:val="both"/>
        <w:rPr>
          <w:sz w:val="24"/>
          <w:szCs w:val="24"/>
        </w:rPr>
      </w:pPr>
      <w:r>
        <w:rPr>
          <w:sz w:val="24"/>
          <w:szCs w:val="24"/>
        </w:rPr>
        <w:lastRenderedPageBreak/>
        <w:t xml:space="preserve">     Zřízení pracovní pozice asistenta Městské policie Plzeň</w:t>
      </w:r>
    </w:p>
    <w:tbl>
      <w:tblPr>
        <w:tblStyle w:val="Mkatabulky"/>
        <w:tblW w:w="8787" w:type="dxa"/>
        <w:tblInd w:w="283" w:type="dxa"/>
        <w:tblLook w:val="04A0" w:firstRow="1" w:lastRow="0" w:firstColumn="1" w:lastColumn="0" w:noHBand="0" w:noVBand="1"/>
      </w:tblPr>
      <w:tblGrid>
        <w:gridCol w:w="3345"/>
        <w:gridCol w:w="2721"/>
        <w:gridCol w:w="2721"/>
      </w:tblGrid>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Údaje v tis. Kč</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Rok 2016</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Další roky</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Platy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dotace úřadu práce</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dotace úřadu práce</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Zákonné pojištění</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dotace úřadu práce</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dotace úřadu práce</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Vyplacené náhrady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dotace úřadu práce</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dotace úřadu práce</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Materiál - výstroj</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400</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400</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Nákup služeb (stravenky)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264</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264</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Příspěvek do SF (7% z mezd)</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50</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50</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Celkem výdaje vč. SF</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714</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714</w:t>
            </w:r>
          </w:p>
        </w:tc>
      </w:tr>
    </w:tbl>
    <w:p w:rsidR="00145B74" w:rsidRDefault="00145B74" w:rsidP="00145B74">
      <w:pPr>
        <w:jc w:val="both"/>
        <w:rPr>
          <w:sz w:val="24"/>
          <w:szCs w:val="24"/>
        </w:rPr>
      </w:pPr>
    </w:p>
    <w:p w:rsidR="00145B74" w:rsidRDefault="00145B74" w:rsidP="00145B74">
      <w:pPr>
        <w:jc w:val="both"/>
        <w:rPr>
          <w:sz w:val="24"/>
          <w:szCs w:val="24"/>
        </w:rPr>
      </w:pPr>
      <w:r>
        <w:rPr>
          <w:sz w:val="24"/>
          <w:szCs w:val="24"/>
        </w:rPr>
        <w:t xml:space="preserve">     Zřízení pracovní pozice zaměstnance odpovědného za legislativu</w:t>
      </w:r>
    </w:p>
    <w:tbl>
      <w:tblPr>
        <w:tblStyle w:val="Mkatabulky"/>
        <w:tblW w:w="8787" w:type="dxa"/>
        <w:tblInd w:w="283" w:type="dxa"/>
        <w:tblLook w:val="04A0" w:firstRow="1" w:lastRow="0" w:firstColumn="1" w:lastColumn="0" w:noHBand="0" w:noVBand="1"/>
      </w:tblPr>
      <w:tblGrid>
        <w:gridCol w:w="3345"/>
        <w:gridCol w:w="2721"/>
        <w:gridCol w:w="2721"/>
      </w:tblGrid>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Údaje v tis. Kč</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Rok 2016</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Další roky</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Platy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542</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542</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Zákonné pojištění</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187</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187</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Vyplacené náhrady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4</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4</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Příspěvek do SF (7% z mezd)</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38</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38</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Celkem výdaje vč. SF</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771</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771</w:t>
            </w:r>
          </w:p>
        </w:tc>
      </w:tr>
    </w:tbl>
    <w:p w:rsidR="00145B74" w:rsidRDefault="00145B74" w:rsidP="00145B74">
      <w:pPr>
        <w:jc w:val="both"/>
        <w:rPr>
          <w:sz w:val="24"/>
          <w:szCs w:val="24"/>
        </w:rPr>
      </w:pPr>
    </w:p>
    <w:p w:rsidR="00145B74" w:rsidRDefault="00145B74" w:rsidP="00145B74">
      <w:pPr>
        <w:jc w:val="both"/>
        <w:rPr>
          <w:sz w:val="24"/>
          <w:szCs w:val="24"/>
        </w:rPr>
      </w:pPr>
      <w:r>
        <w:rPr>
          <w:sz w:val="24"/>
          <w:szCs w:val="24"/>
        </w:rPr>
        <w:t xml:space="preserve">     Příspěvek za práci ve ztíženém pracovním prostředí</w:t>
      </w:r>
    </w:p>
    <w:tbl>
      <w:tblPr>
        <w:tblStyle w:val="Mkatabulky"/>
        <w:tblW w:w="8787" w:type="dxa"/>
        <w:tblInd w:w="283" w:type="dxa"/>
        <w:tblLook w:val="04A0" w:firstRow="1" w:lastRow="0" w:firstColumn="1" w:lastColumn="0" w:noHBand="0" w:noVBand="1"/>
      </w:tblPr>
      <w:tblGrid>
        <w:gridCol w:w="3345"/>
        <w:gridCol w:w="2721"/>
        <w:gridCol w:w="2721"/>
      </w:tblGrid>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Údaje v tis. Kč</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Rok 2016</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Další roky</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Platy</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11.594</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11.594</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Zákonné pojištění</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3.990</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3.990</w:t>
            </w:r>
          </w:p>
        </w:tc>
      </w:tr>
    </w:tbl>
    <w:p w:rsidR="00145B74" w:rsidRDefault="00145B74" w:rsidP="00145B74">
      <w:pPr>
        <w:jc w:val="both"/>
        <w:rPr>
          <w:sz w:val="24"/>
          <w:szCs w:val="24"/>
        </w:rPr>
      </w:pPr>
    </w:p>
    <w:p w:rsidR="00145B74" w:rsidRDefault="00145B74" w:rsidP="00145B74">
      <w:pPr>
        <w:jc w:val="both"/>
        <w:rPr>
          <w:sz w:val="24"/>
          <w:szCs w:val="24"/>
        </w:rPr>
      </w:pPr>
      <w:r>
        <w:rPr>
          <w:sz w:val="24"/>
          <w:szCs w:val="24"/>
        </w:rPr>
        <w:t xml:space="preserve">     Celkem navýšení finančních prostředků</w:t>
      </w:r>
    </w:p>
    <w:tbl>
      <w:tblPr>
        <w:tblStyle w:val="Mkatabulky"/>
        <w:tblW w:w="8787" w:type="dxa"/>
        <w:tblInd w:w="283" w:type="dxa"/>
        <w:tblLook w:val="04A0" w:firstRow="1" w:lastRow="0" w:firstColumn="1" w:lastColumn="0" w:noHBand="0" w:noVBand="1"/>
      </w:tblPr>
      <w:tblGrid>
        <w:gridCol w:w="3345"/>
        <w:gridCol w:w="2721"/>
        <w:gridCol w:w="2721"/>
      </w:tblGrid>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Údaje v tis. Kč</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Rok 2016</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Další roky</w:t>
            </w:r>
          </w:p>
        </w:tc>
      </w:tr>
      <w:tr w:rsidR="00145B74" w:rsidTr="00145B74">
        <w:tc>
          <w:tcPr>
            <w:tcW w:w="3345" w:type="dxa"/>
            <w:tcBorders>
              <w:top w:val="single" w:sz="4" w:space="0" w:color="auto"/>
              <w:left w:val="single" w:sz="4" w:space="0" w:color="auto"/>
              <w:bottom w:val="single" w:sz="4" w:space="0" w:color="auto"/>
              <w:right w:val="single" w:sz="4" w:space="0" w:color="auto"/>
            </w:tcBorders>
            <w:hideMark/>
          </w:tcPr>
          <w:p w:rsidR="00145B74" w:rsidRDefault="00145B74">
            <w:pPr>
              <w:jc w:val="both"/>
              <w:rPr>
                <w:sz w:val="24"/>
                <w:szCs w:val="24"/>
                <w:lang w:eastAsia="en-US"/>
              </w:rPr>
            </w:pPr>
            <w:r>
              <w:rPr>
                <w:sz w:val="24"/>
                <w:szCs w:val="24"/>
                <w:lang w:eastAsia="en-US"/>
              </w:rPr>
              <w:t>Celkem</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36.232</w:t>
            </w:r>
          </w:p>
        </w:tc>
        <w:tc>
          <w:tcPr>
            <w:tcW w:w="2721" w:type="dxa"/>
            <w:tcBorders>
              <w:top w:val="single" w:sz="4" w:space="0" w:color="auto"/>
              <w:left w:val="single" w:sz="4" w:space="0" w:color="auto"/>
              <w:bottom w:val="single" w:sz="4" w:space="0" w:color="auto"/>
              <w:right w:val="single" w:sz="4" w:space="0" w:color="auto"/>
            </w:tcBorders>
            <w:hideMark/>
          </w:tcPr>
          <w:p w:rsidR="00145B74" w:rsidRDefault="00145B74">
            <w:pPr>
              <w:jc w:val="center"/>
              <w:rPr>
                <w:sz w:val="24"/>
                <w:szCs w:val="24"/>
                <w:lang w:eastAsia="en-US"/>
              </w:rPr>
            </w:pPr>
            <w:r>
              <w:rPr>
                <w:sz w:val="24"/>
                <w:szCs w:val="24"/>
                <w:lang w:eastAsia="en-US"/>
              </w:rPr>
              <w:t>33.430</w:t>
            </w:r>
          </w:p>
        </w:tc>
      </w:tr>
    </w:tbl>
    <w:p w:rsidR="00145B74" w:rsidRDefault="00145B74" w:rsidP="00145B74">
      <w:pPr>
        <w:jc w:val="both"/>
        <w:rPr>
          <w:sz w:val="24"/>
          <w:szCs w:val="24"/>
        </w:rPr>
      </w:pPr>
    </w:p>
    <w:p w:rsidR="00145B74" w:rsidRDefault="00145B74" w:rsidP="00145B74">
      <w:pPr>
        <w:numPr>
          <w:ilvl w:val="0"/>
          <w:numId w:val="1"/>
        </w:numPr>
        <w:jc w:val="both"/>
        <w:rPr>
          <w:b/>
          <w:sz w:val="24"/>
          <w:szCs w:val="24"/>
        </w:rPr>
      </w:pPr>
      <w:r>
        <w:rPr>
          <w:b/>
          <w:sz w:val="24"/>
          <w:szCs w:val="24"/>
        </w:rPr>
        <w:t>Návrh termínů realizace a určení zodpovědných pracovníků</w:t>
      </w:r>
    </w:p>
    <w:p w:rsidR="00145B74" w:rsidRDefault="00145B74" w:rsidP="00145B74">
      <w:pPr>
        <w:ind w:left="283"/>
        <w:jc w:val="both"/>
        <w:rPr>
          <w:sz w:val="24"/>
          <w:szCs w:val="24"/>
        </w:rPr>
      </w:pPr>
      <w:r>
        <w:rPr>
          <w:sz w:val="24"/>
          <w:szCs w:val="24"/>
        </w:rPr>
        <w:t>Dle bodu III. návrhu usnesení.</w:t>
      </w:r>
    </w:p>
    <w:p w:rsidR="00145B74" w:rsidRDefault="00145B74" w:rsidP="00145B74">
      <w:pPr>
        <w:jc w:val="both"/>
        <w:rPr>
          <w:sz w:val="24"/>
          <w:szCs w:val="24"/>
        </w:rPr>
      </w:pPr>
    </w:p>
    <w:p w:rsidR="00145B74" w:rsidRDefault="00145B74" w:rsidP="00145B74">
      <w:pPr>
        <w:numPr>
          <w:ilvl w:val="0"/>
          <w:numId w:val="1"/>
        </w:numPr>
        <w:jc w:val="both"/>
      </w:pPr>
      <w:r>
        <w:rPr>
          <w:b/>
          <w:sz w:val="24"/>
          <w:szCs w:val="24"/>
        </w:rPr>
        <w:t>Dříve vydaná usnesení orgánů města nebo městských obvodů, která s tímto návrhem souvisí</w:t>
      </w:r>
    </w:p>
    <w:p w:rsidR="00145B74" w:rsidRDefault="00145B74" w:rsidP="00145B74">
      <w:pPr>
        <w:jc w:val="both"/>
        <w:rPr>
          <w:sz w:val="24"/>
          <w:szCs w:val="24"/>
        </w:rPr>
      </w:pPr>
      <w:r>
        <w:rPr>
          <w:sz w:val="24"/>
          <w:szCs w:val="24"/>
        </w:rPr>
        <w:t xml:space="preserve">     Usnesení rady města Plzně č. 895 ze dne 13.</w:t>
      </w:r>
      <w:r w:rsidR="00590B77">
        <w:rPr>
          <w:sz w:val="24"/>
          <w:szCs w:val="24"/>
        </w:rPr>
        <w:t xml:space="preserve"> </w:t>
      </w:r>
      <w:r>
        <w:rPr>
          <w:sz w:val="24"/>
          <w:szCs w:val="24"/>
        </w:rPr>
        <w:t>8</w:t>
      </w:r>
      <w:r w:rsidR="00590B77">
        <w:rPr>
          <w:sz w:val="24"/>
          <w:szCs w:val="24"/>
        </w:rPr>
        <w:t>.</w:t>
      </w:r>
      <w:bookmarkStart w:id="0" w:name="_GoBack"/>
      <w:bookmarkEnd w:id="0"/>
      <w:r>
        <w:rPr>
          <w:sz w:val="24"/>
          <w:szCs w:val="24"/>
        </w:rPr>
        <w:t xml:space="preserve"> 2015.</w:t>
      </w:r>
    </w:p>
    <w:p w:rsidR="00145B74" w:rsidRDefault="00145B74" w:rsidP="00145B74">
      <w:pPr>
        <w:jc w:val="both"/>
        <w:rPr>
          <w:b/>
          <w:sz w:val="24"/>
          <w:szCs w:val="24"/>
        </w:rPr>
      </w:pPr>
    </w:p>
    <w:p w:rsidR="00145B74" w:rsidRDefault="00145B74" w:rsidP="00145B74">
      <w:pPr>
        <w:numPr>
          <w:ilvl w:val="0"/>
          <w:numId w:val="1"/>
        </w:numPr>
        <w:rPr>
          <w:b/>
          <w:sz w:val="24"/>
          <w:szCs w:val="24"/>
        </w:rPr>
      </w:pPr>
      <w:r>
        <w:rPr>
          <w:b/>
          <w:sz w:val="24"/>
          <w:szCs w:val="24"/>
        </w:rPr>
        <w:t>Závazky či pohledávky vůči městu Plzni</w:t>
      </w:r>
    </w:p>
    <w:p w:rsidR="00145B74" w:rsidRDefault="00145B74" w:rsidP="00145B74">
      <w:pPr>
        <w:ind w:left="283"/>
        <w:rPr>
          <w:sz w:val="24"/>
          <w:szCs w:val="24"/>
        </w:rPr>
      </w:pPr>
      <w:r>
        <w:rPr>
          <w:sz w:val="24"/>
          <w:szCs w:val="24"/>
        </w:rPr>
        <w:t>Nejsou</w:t>
      </w:r>
    </w:p>
    <w:p w:rsidR="00145B74" w:rsidRDefault="00145B74" w:rsidP="00145B74">
      <w:pPr>
        <w:ind w:left="283"/>
        <w:rPr>
          <w:sz w:val="24"/>
          <w:szCs w:val="24"/>
        </w:rPr>
      </w:pPr>
    </w:p>
    <w:p w:rsidR="00145B74" w:rsidRDefault="00145B74" w:rsidP="00145B74">
      <w:pPr>
        <w:numPr>
          <w:ilvl w:val="0"/>
          <w:numId w:val="1"/>
        </w:numPr>
        <w:jc w:val="both"/>
        <w:rPr>
          <w:b/>
          <w:sz w:val="24"/>
          <w:szCs w:val="24"/>
        </w:rPr>
      </w:pPr>
      <w:r>
        <w:rPr>
          <w:b/>
          <w:sz w:val="24"/>
          <w:szCs w:val="24"/>
        </w:rPr>
        <w:t xml:space="preserve"> Přílohy</w:t>
      </w:r>
    </w:p>
    <w:p w:rsidR="00145B74" w:rsidRDefault="00145B74" w:rsidP="00145B74">
      <w:pPr>
        <w:jc w:val="both"/>
        <w:rPr>
          <w:sz w:val="24"/>
          <w:szCs w:val="24"/>
        </w:rPr>
      </w:pPr>
      <w:r>
        <w:rPr>
          <w:sz w:val="24"/>
          <w:szCs w:val="24"/>
        </w:rPr>
        <w:t>Příloha č. 1  - Návrh střednědobé koncepce Městské policie Plzeň na léta 2016 - 2018.</w:t>
      </w:r>
    </w:p>
    <w:p w:rsidR="00145B74" w:rsidRDefault="00145B74" w:rsidP="00145B74">
      <w:pPr>
        <w:jc w:val="both"/>
        <w:rPr>
          <w:b/>
          <w:sz w:val="24"/>
          <w:szCs w:val="24"/>
        </w:rPr>
      </w:pPr>
      <w:r>
        <w:rPr>
          <w:sz w:val="24"/>
          <w:szCs w:val="24"/>
        </w:rPr>
        <w:t>Příloha č. 2  - Usnesení RMP č. 895 ze dne 13.</w:t>
      </w:r>
      <w:r w:rsidR="00590B77">
        <w:rPr>
          <w:sz w:val="24"/>
          <w:szCs w:val="24"/>
        </w:rPr>
        <w:t xml:space="preserve"> </w:t>
      </w:r>
      <w:r>
        <w:rPr>
          <w:sz w:val="24"/>
          <w:szCs w:val="24"/>
        </w:rPr>
        <w:t>8</w:t>
      </w:r>
      <w:r w:rsidR="00590B77">
        <w:rPr>
          <w:sz w:val="24"/>
          <w:szCs w:val="24"/>
        </w:rPr>
        <w:t>.</w:t>
      </w:r>
      <w:r>
        <w:rPr>
          <w:sz w:val="24"/>
          <w:szCs w:val="24"/>
        </w:rPr>
        <w:t xml:space="preserve"> 2015. </w:t>
      </w:r>
      <w:r>
        <w:rPr>
          <w:b/>
          <w:sz w:val="24"/>
          <w:szCs w:val="24"/>
        </w:rPr>
        <w:t xml:space="preserve">                                                   </w:t>
      </w:r>
    </w:p>
    <w:p w:rsidR="00145B74" w:rsidRDefault="00145B74" w:rsidP="00145B74">
      <w:pPr>
        <w:jc w:val="center"/>
        <w:rPr>
          <w:b/>
          <w:sz w:val="24"/>
          <w:szCs w:val="24"/>
        </w:rPr>
      </w:pPr>
    </w:p>
    <w:p w:rsidR="00CC1B66" w:rsidRDefault="005064BB"/>
    <w:sectPr w:rsidR="00CC1B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BB" w:rsidRDefault="005064BB" w:rsidP="00145B74">
      <w:r>
        <w:separator/>
      </w:r>
    </w:p>
  </w:endnote>
  <w:endnote w:type="continuationSeparator" w:id="0">
    <w:p w:rsidR="005064BB" w:rsidRDefault="005064BB" w:rsidP="0014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BB" w:rsidRDefault="005064BB" w:rsidP="00145B74">
      <w:r>
        <w:separator/>
      </w:r>
    </w:p>
  </w:footnote>
  <w:footnote w:type="continuationSeparator" w:id="0">
    <w:p w:rsidR="005064BB" w:rsidRDefault="005064BB" w:rsidP="00145B74">
      <w:r>
        <w:continuationSeparator/>
      </w:r>
    </w:p>
  </w:footnote>
  <w:footnote w:id="1">
    <w:p w:rsidR="00145B74" w:rsidRDefault="00145B74" w:rsidP="00145B74">
      <w:pPr>
        <w:pStyle w:val="Textpoznpodarou"/>
      </w:pPr>
      <w:r>
        <w:rPr>
          <w:rStyle w:val="Znakapoznpodarou"/>
        </w:rPr>
        <w:footnoteRef/>
      </w:r>
      <w:r>
        <w:t xml:space="preserve"> Zákon 553/91 Sb., o obecní policii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2F2D"/>
    <w:multiLevelType w:val="singleLevel"/>
    <w:tmpl w:val="0AD6045E"/>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C9"/>
    <w:rsid w:val="000B0D6F"/>
    <w:rsid w:val="000D70D7"/>
    <w:rsid w:val="00145B74"/>
    <w:rsid w:val="003424C9"/>
    <w:rsid w:val="00391FED"/>
    <w:rsid w:val="005064BB"/>
    <w:rsid w:val="00590B77"/>
    <w:rsid w:val="008006EF"/>
    <w:rsid w:val="00DC3256"/>
    <w:rsid w:val="00E46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B7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145B74"/>
  </w:style>
  <w:style w:type="character" w:customStyle="1" w:styleId="TextpoznpodarouChar">
    <w:name w:val="Text pozn. pod čarou Char"/>
    <w:basedOn w:val="Standardnpsmoodstavce"/>
    <w:link w:val="Textpoznpodarou"/>
    <w:semiHidden/>
    <w:rsid w:val="00145B7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45B74"/>
    <w:pPr>
      <w:ind w:left="720"/>
      <w:contextualSpacing/>
    </w:pPr>
  </w:style>
  <w:style w:type="paragraph" w:customStyle="1" w:styleId="Paragrafneslovan">
    <w:name w:val="Paragraf nečíslovaný"/>
    <w:basedOn w:val="Normln"/>
    <w:autoRedefine/>
    <w:rsid w:val="00145B74"/>
    <w:pPr>
      <w:ind w:left="2552" w:hanging="2552"/>
    </w:pPr>
    <w:rPr>
      <w:sz w:val="24"/>
      <w:szCs w:val="24"/>
    </w:rPr>
  </w:style>
  <w:style w:type="character" w:styleId="Znakapoznpodarou">
    <w:name w:val="footnote reference"/>
    <w:semiHidden/>
    <w:unhideWhenUsed/>
    <w:rsid w:val="00145B74"/>
    <w:rPr>
      <w:vertAlign w:val="superscript"/>
    </w:rPr>
  </w:style>
  <w:style w:type="table" w:styleId="Mkatabulky">
    <w:name w:val="Table Grid"/>
    <w:basedOn w:val="Normlntabulka"/>
    <w:uiPriority w:val="59"/>
    <w:rsid w:val="0014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B7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145B74"/>
  </w:style>
  <w:style w:type="character" w:customStyle="1" w:styleId="TextpoznpodarouChar">
    <w:name w:val="Text pozn. pod čarou Char"/>
    <w:basedOn w:val="Standardnpsmoodstavce"/>
    <w:link w:val="Textpoznpodarou"/>
    <w:semiHidden/>
    <w:rsid w:val="00145B7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45B74"/>
    <w:pPr>
      <w:ind w:left="720"/>
      <w:contextualSpacing/>
    </w:pPr>
  </w:style>
  <w:style w:type="paragraph" w:customStyle="1" w:styleId="Paragrafneslovan">
    <w:name w:val="Paragraf nečíslovaný"/>
    <w:basedOn w:val="Normln"/>
    <w:autoRedefine/>
    <w:rsid w:val="00145B74"/>
    <w:pPr>
      <w:ind w:left="2552" w:hanging="2552"/>
    </w:pPr>
    <w:rPr>
      <w:sz w:val="24"/>
      <w:szCs w:val="24"/>
    </w:rPr>
  </w:style>
  <w:style w:type="character" w:styleId="Znakapoznpodarou">
    <w:name w:val="footnote reference"/>
    <w:semiHidden/>
    <w:unhideWhenUsed/>
    <w:rsid w:val="00145B74"/>
    <w:rPr>
      <w:vertAlign w:val="superscript"/>
    </w:rPr>
  </w:style>
  <w:style w:type="table" w:styleId="Mkatabulky">
    <w:name w:val="Table Grid"/>
    <w:basedOn w:val="Normlntabulka"/>
    <w:uiPriority w:val="59"/>
    <w:rsid w:val="0014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6136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Kopřivová Alena</dc:creator>
  <cp:keywords/>
  <dc:description/>
  <cp:lastModifiedBy>Kopřivová Alena</cp:lastModifiedBy>
  <cp:revision>3</cp:revision>
  <dcterms:created xsi:type="dcterms:W3CDTF">2015-09-29T05:16:00Z</dcterms:created>
  <dcterms:modified xsi:type="dcterms:W3CDTF">2015-09-29T07:30:00Z</dcterms:modified>
</cp:coreProperties>
</file>