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017"/>
        <w:gridCol w:w="3509"/>
      </w:tblGrid>
      <w:tr w:rsidR="0052356F" w:rsidTr="00357D43">
        <w:tc>
          <w:tcPr>
            <w:tcW w:w="3616" w:type="dxa"/>
            <w:hideMark/>
          </w:tcPr>
          <w:p w:rsidR="0052356F" w:rsidRDefault="0052356F" w:rsidP="00357D43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017" w:type="dxa"/>
            <w:hideMark/>
          </w:tcPr>
          <w:p w:rsidR="0052356F" w:rsidRDefault="00994C4B" w:rsidP="00994C4B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</w:t>
            </w:r>
            <w:r w:rsidR="0052356F">
              <w:rPr>
                <w:b/>
                <w:sz w:val="24"/>
                <w:lang w:eastAsia="en-US"/>
              </w:rPr>
              <w:t xml:space="preserve">. </w:t>
            </w:r>
            <w:r>
              <w:rPr>
                <w:b/>
                <w:sz w:val="24"/>
                <w:lang w:eastAsia="en-US"/>
              </w:rPr>
              <w:t>11</w:t>
            </w:r>
            <w:r w:rsidR="0052356F">
              <w:rPr>
                <w:b/>
                <w:sz w:val="24"/>
                <w:lang w:eastAsia="en-US"/>
              </w:rPr>
              <w:t>. 201</w:t>
            </w:r>
            <w:r w:rsidR="007E6374"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3509" w:type="dxa"/>
            <w:hideMark/>
          </w:tcPr>
          <w:p w:rsidR="0052356F" w:rsidRDefault="0052356F" w:rsidP="00994C4B">
            <w:pPr>
              <w:pStyle w:val="Nadpis2"/>
              <w:spacing w:line="276" w:lineRule="auto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 xml:space="preserve">  MAJ/</w:t>
            </w:r>
            <w:r w:rsidR="001D647B">
              <w:rPr>
                <w:lang w:eastAsia="en-US"/>
              </w:rPr>
              <w:t>13</w:t>
            </w:r>
          </w:p>
        </w:tc>
      </w:tr>
      <w:tr w:rsidR="00160C27" w:rsidTr="00357D43">
        <w:tc>
          <w:tcPr>
            <w:tcW w:w="3616" w:type="dxa"/>
          </w:tcPr>
          <w:p w:rsidR="00160C27" w:rsidRDefault="00160C27" w:rsidP="00357D43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</w:p>
        </w:tc>
        <w:tc>
          <w:tcPr>
            <w:tcW w:w="2017" w:type="dxa"/>
          </w:tcPr>
          <w:p w:rsidR="00160C27" w:rsidRDefault="00160C27" w:rsidP="00357D43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</w:p>
        </w:tc>
        <w:tc>
          <w:tcPr>
            <w:tcW w:w="3509" w:type="dxa"/>
          </w:tcPr>
          <w:p w:rsidR="00160C27" w:rsidRDefault="00160C27" w:rsidP="00357D43">
            <w:pPr>
              <w:pStyle w:val="Nadpis2"/>
              <w:spacing w:line="276" w:lineRule="auto"/>
              <w:rPr>
                <w:lang w:eastAsia="en-US"/>
              </w:rPr>
            </w:pPr>
          </w:p>
        </w:tc>
      </w:tr>
    </w:tbl>
    <w:bookmarkEnd w:id="0"/>
    <w:bookmarkEnd w:id="1"/>
    <w:bookmarkEnd w:id="2"/>
    <w:p w:rsidR="0052356F" w:rsidRDefault="0052356F" w:rsidP="0052356F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52356F" w:rsidTr="00357D43">
        <w:tc>
          <w:tcPr>
            <w:tcW w:w="570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52356F" w:rsidRDefault="00994C4B" w:rsidP="00994C4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52356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11</w:t>
            </w:r>
            <w:r w:rsidR="0052356F">
              <w:rPr>
                <w:lang w:eastAsia="en-US"/>
              </w:rPr>
              <w:t>. 201</w:t>
            </w:r>
            <w:r w:rsidR="007E6374">
              <w:rPr>
                <w:lang w:eastAsia="en-US"/>
              </w:rPr>
              <w:t>5</w:t>
            </w:r>
          </w:p>
        </w:tc>
      </w:tr>
    </w:tbl>
    <w:p w:rsidR="0052356F" w:rsidRDefault="0052356F" w:rsidP="0052356F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2"/>
        <w:gridCol w:w="7837"/>
      </w:tblGrid>
      <w:tr w:rsidR="0052356F" w:rsidTr="00357D43">
        <w:trPr>
          <w:cantSplit/>
          <w:trHeight w:val="749"/>
        </w:trPr>
        <w:tc>
          <w:tcPr>
            <w:tcW w:w="1362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837" w:type="dxa"/>
            <w:hideMark/>
          </w:tcPr>
          <w:p w:rsidR="0052356F" w:rsidRDefault="00C579EB" w:rsidP="00F47620">
            <w:pPr>
              <w:pStyle w:val="vlevo"/>
              <w:spacing w:line="276" w:lineRule="auto"/>
              <w:ind w:left="-86"/>
              <w:rPr>
                <w:lang w:eastAsia="en-US"/>
              </w:rPr>
            </w:pPr>
            <w:r w:rsidRPr="00C579EB">
              <w:t xml:space="preserve">Uzavření kupní smlouvy s Plzeňskou teplárenskou, a.s. ve věci převodu TDI </w:t>
            </w:r>
            <w:r>
              <w:br/>
            </w:r>
            <w:r w:rsidRPr="00C579EB">
              <w:t xml:space="preserve">v souvislosti se stavbou „Dobíjecí stanice pro </w:t>
            </w:r>
            <w:proofErr w:type="spellStart"/>
            <w:r w:rsidRPr="00C579EB">
              <w:t>elektrobusy</w:t>
            </w:r>
            <w:proofErr w:type="spellEnd"/>
            <w:r w:rsidRPr="00C579EB">
              <w:t xml:space="preserve"> v Krašovské ulici“.</w:t>
            </w:r>
          </w:p>
        </w:tc>
      </w:tr>
    </w:tbl>
    <w:p w:rsidR="0052356F" w:rsidRDefault="0052356F" w:rsidP="0052356F">
      <w:pPr>
        <w:pStyle w:val="vlevo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EF6E237" wp14:editId="705126BA">
                <wp:simplePos x="0" y="0"/>
                <wp:positionH relativeFrom="column">
                  <wp:posOffset>-62230</wp:posOffset>
                </wp:positionH>
                <wp:positionV relativeFrom="paragraph">
                  <wp:posOffset>42545</wp:posOffset>
                </wp:positionV>
                <wp:extent cx="5779135" cy="0"/>
                <wp:effectExtent l="0" t="0" r="1206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3.35pt" to="450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" o:allowincell="f"/>
            </w:pict>
          </mc:Fallback>
        </mc:AlternateContent>
      </w:r>
    </w:p>
    <w:p w:rsidR="0052356F" w:rsidRDefault="0052356F" w:rsidP="0052356F">
      <w:pPr>
        <w:pStyle w:val="vlevot"/>
      </w:pPr>
      <w:r>
        <w:t>Zastupitelstvo města Plzně</w:t>
      </w:r>
    </w:p>
    <w:p w:rsidR="0052356F" w:rsidRDefault="0052356F" w:rsidP="0052356F">
      <w:pPr>
        <w:pStyle w:val="vlevo"/>
      </w:pPr>
      <w:r>
        <w:t>k návrhu Rady města Plzně</w:t>
      </w:r>
    </w:p>
    <w:p w:rsidR="0052356F" w:rsidRDefault="0052356F" w:rsidP="0052356F">
      <w:pPr>
        <w:pStyle w:val="vlevo"/>
        <w:rPr>
          <w:sz w:val="20"/>
        </w:rPr>
      </w:pPr>
    </w:p>
    <w:p w:rsidR="00160C27" w:rsidRDefault="00160C27" w:rsidP="0052356F">
      <w:pPr>
        <w:pStyle w:val="vlevo"/>
        <w:rPr>
          <w:sz w:val="20"/>
        </w:rPr>
      </w:pPr>
    </w:p>
    <w:p w:rsidR="0052356F" w:rsidRDefault="0052356F" w:rsidP="00035375">
      <w:pPr>
        <w:pStyle w:val="parzahl"/>
        <w:spacing w:before="0" w:after="60"/>
      </w:pPr>
      <w:proofErr w:type="gramStart"/>
      <w:r>
        <w:t>B e r e   n a   v ě d o m í</w:t>
      </w:r>
      <w:proofErr w:type="gramEnd"/>
    </w:p>
    <w:p w:rsidR="00C579EB" w:rsidRDefault="00C579EB" w:rsidP="00C579EB">
      <w:pPr>
        <w:pStyle w:val="Zkladntext21"/>
        <w:numPr>
          <w:ilvl w:val="0"/>
          <w:numId w:val="6"/>
        </w:numPr>
        <w:ind w:left="426" w:right="-52" w:hanging="426"/>
      </w:pPr>
      <w:r>
        <w:t>Žádost Plzeňské teplárenské, a.s. o uzavření kupní smlouvy na vybudovanou TDI v souladu se Smlouvou o budoucí smlouvě kupní č. 2014/003886 ze dne 25. 9. 2014.</w:t>
      </w:r>
    </w:p>
    <w:p w:rsidR="00C579EB" w:rsidRPr="00B513D3" w:rsidRDefault="00C579EB" w:rsidP="00C579EB">
      <w:pPr>
        <w:pStyle w:val="Zkladntext21"/>
        <w:numPr>
          <w:ilvl w:val="0"/>
          <w:numId w:val="6"/>
        </w:numPr>
        <w:ind w:left="426" w:right="-52" w:hanging="426"/>
      </w:pPr>
      <w:r>
        <w:t>Kolaudační souhlas s užíváním stavby „</w:t>
      </w:r>
      <w:r w:rsidRPr="00B513D3">
        <w:rPr>
          <w:szCs w:val="24"/>
        </w:rPr>
        <w:t xml:space="preserve">Dobíjecí stanice pro </w:t>
      </w:r>
      <w:proofErr w:type="spellStart"/>
      <w:r w:rsidRPr="00B513D3">
        <w:rPr>
          <w:szCs w:val="24"/>
        </w:rPr>
        <w:t>elektrobusy</w:t>
      </w:r>
      <w:proofErr w:type="spellEnd"/>
      <w:r w:rsidRPr="00B513D3">
        <w:rPr>
          <w:szCs w:val="24"/>
        </w:rPr>
        <w:t xml:space="preserve"> v Krašovské ulici“ </w:t>
      </w:r>
      <w:r>
        <w:rPr>
          <w:color w:val="000000"/>
          <w:szCs w:val="24"/>
        </w:rPr>
        <w:t xml:space="preserve">vydaný </w:t>
      </w:r>
      <w:r w:rsidRPr="00B513D3">
        <w:rPr>
          <w:color w:val="000000"/>
          <w:szCs w:val="24"/>
        </w:rPr>
        <w:t>odborem investičním a stavebně správním ÚMO Plzeň</w:t>
      </w:r>
      <w:r>
        <w:rPr>
          <w:color w:val="000000"/>
          <w:szCs w:val="24"/>
        </w:rPr>
        <w:t xml:space="preserve"> 1 pod</w:t>
      </w:r>
      <w:r w:rsidRPr="00B513D3">
        <w:rPr>
          <w:color w:val="000000"/>
          <w:szCs w:val="24"/>
        </w:rPr>
        <w:t xml:space="preserve"> čj. UMO1/10682/15 dne 30. 4. 2015.</w:t>
      </w:r>
    </w:p>
    <w:p w:rsidR="00160C27" w:rsidRDefault="00160C27" w:rsidP="00160C27">
      <w:pPr>
        <w:pStyle w:val="Zkladntext21"/>
        <w:ind w:right="-52" w:firstLine="0"/>
      </w:pPr>
    </w:p>
    <w:p w:rsidR="0052356F" w:rsidRPr="00A462B0" w:rsidRDefault="0052356F" w:rsidP="00035375">
      <w:pPr>
        <w:pStyle w:val="parzahl"/>
        <w:ind w:right="-51"/>
      </w:pPr>
      <w:r w:rsidRPr="006A7ADE">
        <w:t>S</w:t>
      </w:r>
      <w:r>
        <w:t xml:space="preserve"> c </w:t>
      </w:r>
      <w:r w:rsidRPr="006A7ADE">
        <w:t xml:space="preserve">h </w:t>
      </w:r>
      <w:r>
        <w:t>v</w:t>
      </w:r>
      <w:r w:rsidRPr="006A7ADE">
        <w:t xml:space="preserve"> </w:t>
      </w:r>
      <w:r>
        <w:t>a l u j e</w:t>
      </w:r>
    </w:p>
    <w:p w:rsidR="00C579EB" w:rsidRPr="00D20B26" w:rsidRDefault="00C579EB" w:rsidP="00C579EB">
      <w:pPr>
        <w:ind w:firstLine="0"/>
        <w:jc w:val="both"/>
        <w:rPr>
          <w:sz w:val="24"/>
        </w:rPr>
      </w:pPr>
      <w:r>
        <w:rPr>
          <w:sz w:val="24"/>
        </w:rPr>
        <w:t>u</w:t>
      </w:r>
      <w:r w:rsidRPr="00D20B26">
        <w:rPr>
          <w:sz w:val="24"/>
        </w:rPr>
        <w:t>zavření kupní smlouvy mezi městem Plzní jako kupujícím a společností</w:t>
      </w:r>
      <w:r w:rsidRPr="00C579EB">
        <w:rPr>
          <w:sz w:val="24"/>
        </w:rPr>
        <w:t xml:space="preserve"> Plzeňská </w:t>
      </w:r>
      <w:r w:rsidRPr="006F010E">
        <w:rPr>
          <w:sz w:val="24"/>
        </w:rPr>
        <w:t>teplárenská, a.s., IČ: 497904</w:t>
      </w:r>
      <w:r>
        <w:rPr>
          <w:sz w:val="24"/>
        </w:rPr>
        <w:t>8</w:t>
      </w:r>
      <w:r w:rsidRPr="006F010E">
        <w:rPr>
          <w:sz w:val="24"/>
        </w:rPr>
        <w:t>0, se sídlem v Plzni, Doubravecká 2760/1, jako prodávajícím</w:t>
      </w:r>
      <w:r w:rsidRPr="00D20B26">
        <w:rPr>
          <w:sz w:val="24"/>
        </w:rPr>
        <w:t xml:space="preserve"> </w:t>
      </w:r>
      <w:r>
        <w:rPr>
          <w:sz w:val="24"/>
        </w:rPr>
        <w:t xml:space="preserve">na koupi </w:t>
      </w:r>
      <w:r w:rsidRPr="00D20B26">
        <w:rPr>
          <w:sz w:val="24"/>
        </w:rPr>
        <w:t>staveb TDI:</w:t>
      </w:r>
    </w:p>
    <w:p w:rsidR="00C579EB" w:rsidRPr="00D20B26" w:rsidRDefault="00C579EB" w:rsidP="00C579E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</w:t>
      </w:r>
      <w:r w:rsidRPr="00D20B26">
        <w:rPr>
          <w:sz w:val="24"/>
        </w:rPr>
        <w:t>jezd k </w:t>
      </w:r>
      <w:proofErr w:type="spellStart"/>
      <w:r w:rsidRPr="00D20B26">
        <w:rPr>
          <w:sz w:val="24"/>
        </w:rPr>
        <w:t>rychlonabíjecí</w:t>
      </w:r>
      <w:proofErr w:type="spellEnd"/>
      <w:r w:rsidRPr="00D20B26">
        <w:rPr>
          <w:sz w:val="24"/>
        </w:rPr>
        <w:t xml:space="preserve"> stanici na částech městských pozemků </w:t>
      </w:r>
      <w:proofErr w:type="spellStart"/>
      <w:r w:rsidRPr="00D20B26">
        <w:rPr>
          <w:sz w:val="24"/>
        </w:rPr>
        <w:t>parc</w:t>
      </w:r>
      <w:proofErr w:type="spellEnd"/>
      <w:r w:rsidRPr="00D20B26">
        <w:rPr>
          <w:sz w:val="24"/>
        </w:rPr>
        <w:t xml:space="preserve">. č. 1609/60, </w:t>
      </w:r>
      <w:proofErr w:type="spellStart"/>
      <w:r w:rsidRPr="00D20B26">
        <w:rPr>
          <w:sz w:val="24"/>
        </w:rPr>
        <w:t>parc</w:t>
      </w:r>
      <w:proofErr w:type="spellEnd"/>
      <w:r w:rsidRPr="00D20B26">
        <w:rPr>
          <w:sz w:val="24"/>
        </w:rPr>
        <w:t>.</w:t>
      </w:r>
      <w:r>
        <w:rPr>
          <w:sz w:val="24"/>
        </w:rPr>
        <w:t xml:space="preserve"> č. 1609/63, oba v </w:t>
      </w:r>
      <w:proofErr w:type="spellStart"/>
      <w:proofErr w:type="gramStart"/>
      <w:r>
        <w:rPr>
          <w:sz w:val="24"/>
        </w:rPr>
        <w:t>k.ú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Bolevec,</w:t>
      </w:r>
    </w:p>
    <w:p w:rsidR="00C579EB" w:rsidRPr="00D20B26" w:rsidRDefault="00C579EB" w:rsidP="00C579E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v</w:t>
      </w:r>
      <w:r w:rsidRPr="00D20B26">
        <w:rPr>
          <w:sz w:val="24"/>
        </w:rPr>
        <w:t>eřejné osvětlení na části městského pozemku</w:t>
      </w:r>
      <w:r>
        <w:rPr>
          <w:sz w:val="24"/>
        </w:rPr>
        <w:t xml:space="preserve">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č. 1609/60, </w:t>
      </w:r>
      <w:proofErr w:type="spellStart"/>
      <w:proofErr w:type="gramStart"/>
      <w:r>
        <w:rPr>
          <w:sz w:val="24"/>
        </w:rPr>
        <w:t>k.ú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Bolevec,</w:t>
      </w:r>
    </w:p>
    <w:p w:rsidR="00C579EB" w:rsidRPr="00D20B26" w:rsidRDefault="00C579EB" w:rsidP="00C579EB">
      <w:pPr>
        <w:ind w:firstLine="0"/>
        <w:jc w:val="both"/>
        <w:rPr>
          <w:color w:val="000000"/>
          <w:sz w:val="24"/>
          <w:szCs w:val="24"/>
        </w:rPr>
      </w:pPr>
      <w:r w:rsidRPr="00D20B26">
        <w:rPr>
          <w:sz w:val="24"/>
          <w:szCs w:val="24"/>
        </w:rPr>
        <w:t>které byly vybudované v rámci stavby „</w:t>
      </w:r>
      <w:r>
        <w:rPr>
          <w:sz w:val="24"/>
          <w:szCs w:val="24"/>
        </w:rPr>
        <w:t xml:space="preserve">Dobíjecí stanice pro </w:t>
      </w:r>
      <w:proofErr w:type="spellStart"/>
      <w:r>
        <w:rPr>
          <w:sz w:val="24"/>
          <w:szCs w:val="24"/>
        </w:rPr>
        <w:t>elektrobusy</w:t>
      </w:r>
      <w:proofErr w:type="spellEnd"/>
      <w:r>
        <w:rPr>
          <w:sz w:val="24"/>
          <w:szCs w:val="24"/>
        </w:rPr>
        <w:t xml:space="preserve"> v Krašovské ulici“ </w:t>
      </w:r>
      <w:r>
        <w:rPr>
          <w:sz w:val="24"/>
          <w:szCs w:val="24"/>
        </w:rPr>
        <w:br/>
      </w:r>
      <w:r w:rsidRPr="00D20B26">
        <w:rPr>
          <w:color w:val="000000"/>
          <w:sz w:val="24"/>
          <w:szCs w:val="24"/>
        </w:rPr>
        <w:t xml:space="preserve">a specifikované v kolaudačním souhlasu vedeném pod čj. </w:t>
      </w:r>
      <w:r>
        <w:rPr>
          <w:color w:val="000000"/>
          <w:sz w:val="24"/>
          <w:szCs w:val="24"/>
        </w:rPr>
        <w:t>UMO1/10682/15</w:t>
      </w:r>
      <w:r w:rsidRPr="00D20B26">
        <w:rPr>
          <w:color w:val="000000"/>
          <w:sz w:val="24"/>
          <w:szCs w:val="24"/>
        </w:rPr>
        <w:t xml:space="preserve"> ze dne </w:t>
      </w:r>
      <w:r>
        <w:rPr>
          <w:color w:val="000000"/>
          <w:sz w:val="24"/>
          <w:szCs w:val="24"/>
        </w:rPr>
        <w:t>30</w:t>
      </w:r>
      <w:r w:rsidRPr="00D20B26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4</w:t>
      </w:r>
      <w:r w:rsidRPr="00D20B26">
        <w:rPr>
          <w:color w:val="000000"/>
          <w:sz w:val="24"/>
          <w:szCs w:val="24"/>
        </w:rPr>
        <w:t>. 201</w:t>
      </w:r>
      <w:r>
        <w:rPr>
          <w:color w:val="000000"/>
          <w:sz w:val="24"/>
          <w:szCs w:val="24"/>
        </w:rPr>
        <w:t>5</w:t>
      </w:r>
      <w:r w:rsidRPr="00D20B26">
        <w:rPr>
          <w:color w:val="000000"/>
          <w:sz w:val="24"/>
          <w:szCs w:val="24"/>
        </w:rPr>
        <w:t xml:space="preserve"> vydaném </w:t>
      </w:r>
      <w:r>
        <w:rPr>
          <w:color w:val="000000"/>
          <w:sz w:val="24"/>
          <w:szCs w:val="24"/>
        </w:rPr>
        <w:t>odborem investičním a stavebně správním ÚMO Plzeň 1</w:t>
      </w:r>
      <w:r w:rsidRPr="00D20B26">
        <w:rPr>
          <w:color w:val="000000"/>
          <w:sz w:val="24"/>
          <w:szCs w:val="24"/>
        </w:rPr>
        <w:t>.</w:t>
      </w:r>
    </w:p>
    <w:p w:rsidR="00C579EB" w:rsidRPr="00395F9D" w:rsidRDefault="00C579EB" w:rsidP="00C579EB">
      <w:pPr>
        <w:ind w:firstLine="0"/>
        <w:jc w:val="both"/>
        <w:rPr>
          <w:color w:val="000000"/>
          <w:sz w:val="24"/>
          <w:szCs w:val="24"/>
        </w:rPr>
      </w:pPr>
      <w:r w:rsidRPr="00D20B26">
        <w:rPr>
          <w:color w:val="000000"/>
          <w:sz w:val="24"/>
          <w:szCs w:val="24"/>
        </w:rPr>
        <w:t xml:space="preserve">Výše uvedená technická a dopravní infrastruktura se převádí do majetku města Plzně </w:t>
      </w:r>
      <w:r>
        <w:rPr>
          <w:color w:val="000000"/>
          <w:sz w:val="24"/>
          <w:szCs w:val="24"/>
        </w:rPr>
        <w:br/>
      </w:r>
      <w:r w:rsidRPr="00D20B26">
        <w:rPr>
          <w:color w:val="000000"/>
          <w:sz w:val="24"/>
          <w:szCs w:val="24"/>
        </w:rPr>
        <w:t xml:space="preserve">za smluvní kupní cenu </w:t>
      </w:r>
      <w:r>
        <w:rPr>
          <w:color w:val="000000"/>
          <w:sz w:val="24"/>
          <w:szCs w:val="24"/>
        </w:rPr>
        <w:t>1 252</w:t>
      </w:r>
      <w:r w:rsidRPr="00D20B26">
        <w:rPr>
          <w:color w:val="000000"/>
          <w:sz w:val="24"/>
          <w:szCs w:val="24"/>
        </w:rPr>
        <w:t xml:space="preserve"> Kč, která je stanovena jako 1 % z pořizovacích nákladů na realizaci výše uvedených staveb. </w:t>
      </w:r>
      <w:r w:rsidRPr="00D20B26">
        <w:rPr>
          <w:bCs/>
          <w:sz w:val="24"/>
          <w:szCs w:val="24"/>
        </w:rPr>
        <w:t>Smluvní kupní cena bude</w:t>
      </w:r>
      <w:r>
        <w:rPr>
          <w:bCs/>
          <w:sz w:val="24"/>
          <w:szCs w:val="24"/>
        </w:rPr>
        <w:t xml:space="preserve"> navýšena o DPH v zákonné sazbě a </w:t>
      </w:r>
      <w:proofErr w:type="gramStart"/>
      <w:r w:rsidRPr="00D20B26">
        <w:rPr>
          <w:sz w:val="24"/>
          <w:szCs w:val="24"/>
        </w:rPr>
        <w:t>bud</w:t>
      </w:r>
      <w:r>
        <w:rPr>
          <w:sz w:val="24"/>
          <w:szCs w:val="24"/>
        </w:rPr>
        <w:t>e</w:t>
      </w:r>
      <w:proofErr w:type="gramEnd"/>
      <w:r w:rsidRPr="00D20B26">
        <w:rPr>
          <w:sz w:val="24"/>
          <w:szCs w:val="24"/>
        </w:rPr>
        <w:t xml:space="preserve"> uhrazen</w:t>
      </w:r>
      <w:r>
        <w:rPr>
          <w:sz w:val="24"/>
          <w:szCs w:val="24"/>
        </w:rPr>
        <w:t>a</w:t>
      </w:r>
      <w:r w:rsidRPr="00D20B26">
        <w:rPr>
          <w:sz w:val="24"/>
          <w:szCs w:val="24"/>
        </w:rPr>
        <w:t xml:space="preserve"> na účet prodávajícího do 30 dnů po doručení daňového dokladu na </w:t>
      </w:r>
      <w:proofErr w:type="gramStart"/>
      <w:r w:rsidRPr="00D20B26">
        <w:rPr>
          <w:sz w:val="24"/>
          <w:szCs w:val="24"/>
        </w:rPr>
        <w:t>MAJ</w:t>
      </w:r>
      <w:proofErr w:type="gramEnd"/>
      <w:r w:rsidRPr="00D20B26">
        <w:rPr>
          <w:sz w:val="24"/>
          <w:szCs w:val="24"/>
        </w:rPr>
        <w:t xml:space="preserve"> MMP, který bude vystaven společností Plzeňská teplárenská, a.s.</w:t>
      </w:r>
      <w:r>
        <w:rPr>
          <w:sz w:val="24"/>
          <w:szCs w:val="24"/>
        </w:rPr>
        <w:t xml:space="preserve"> </w:t>
      </w:r>
      <w:r w:rsidRPr="00D20B26">
        <w:rPr>
          <w:sz w:val="24"/>
          <w:szCs w:val="24"/>
        </w:rPr>
        <w:t>nejpozději do 15 dnů ode dne podpisu kupní smlouvy. Zdrojem finančního krytí je rozpočet MAJ MMP.</w:t>
      </w:r>
    </w:p>
    <w:p w:rsidR="00160C27" w:rsidRPr="00934BC2" w:rsidRDefault="00160C27" w:rsidP="002F501E">
      <w:pPr>
        <w:pStyle w:val="vlevo"/>
      </w:pPr>
    </w:p>
    <w:p w:rsidR="0052356F" w:rsidRPr="006A7ADE" w:rsidRDefault="0052356F" w:rsidP="0052356F">
      <w:pPr>
        <w:pStyle w:val="parzahl"/>
      </w:pPr>
      <w:r>
        <w:t>U k l á d á</w:t>
      </w:r>
    </w:p>
    <w:p w:rsidR="0052356F" w:rsidRDefault="0052356F" w:rsidP="0052356F">
      <w:pPr>
        <w:pStyle w:val="Paragrafneslovan"/>
        <w:rPr>
          <w:sz w:val="24"/>
          <w:szCs w:val="24"/>
        </w:rPr>
      </w:pPr>
      <w:r>
        <w:rPr>
          <w:sz w:val="24"/>
          <w:szCs w:val="24"/>
        </w:rPr>
        <w:t>Radě města Plzně</w:t>
      </w:r>
    </w:p>
    <w:p w:rsidR="0052356F" w:rsidRPr="00FE5D9A" w:rsidRDefault="0052356F" w:rsidP="0052356F">
      <w:pPr>
        <w:pStyle w:val="Paragrafneslovan"/>
        <w:rPr>
          <w:sz w:val="24"/>
          <w:szCs w:val="24"/>
        </w:rPr>
      </w:pPr>
      <w:r>
        <w:rPr>
          <w:sz w:val="24"/>
          <w:szCs w:val="24"/>
        </w:rPr>
        <w:t>zajistit realizaci smluvníh</w:t>
      </w:r>
      <w:r w:rsidR="006C0D64">
        <w:rPr>
          <w:sz w:val="24"/>
          <w:szCs w:val="24"/>
        </w:rPr>
        <w:t>o</w:t>
      </w:r>
      <w:r>
        <w:rPr>
          <w:sz w:val="24"/>
          <w:szCs w:val="24"/>
        </w:rPr>
        <w:t xml:space="preserve"> vztah</w:t>
      </w:r>
      <w:r w:rsidR="006C0D64">
        <w:rPr>
          <w:sz w:val="24"/>
          <w:szCs w:val="24"/>
        </w:rPr>
        <w:t>u</w:t>
      </w:r>
      <w:r>
        <w:rPr>
          <w:sz w:val="24"/>
          <w:szCs w:val="24"/>
        </w:rPr>
        <w:t xml:space="preserve"> dle bodu II. tohoto usnesení.</w:t>
      </w:r>
    </w:p>
    <w:p w:rsidR="0052356F" w:rsidRDefault="0052356F" w:rsidP="0052356F">
      <w:pPr>
        <w:pStyle w:val="Paragrafneslovan"/>
        <w:ind w:left="3540" w:hanging="3540"/>
        <w:rPr>
          <w:sz w:val="24"/>
          <w:szCs w:val="24"/>
        </w:rPr>
      </w:pPr>
      <w:r w:rsidRPr="00FE5D9A">
        <w:rPr>
          <w:sz w:val="24"/>
          <w:szCs w:val="24"/>
        </w:rPr>
        <w:t xml:space="preserve">Termín: </w:t>
      </w:r>
      <w:r w:rsidR="002F501E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B32339">
        <w:rPr>
          <w:sz w:val="24"/>
          <w:szCs w:val="24"/>
        </w:rPr>
        <w:t xml:space="preserve"> </w:t>
      </w:r>
      <w:r w:rsidR="00C579EB">
        <w:rPr>
          <w:sz w:val="24"/>
          <w:szCs w:val="24"/>
        </w:rPr>
        <w:t>9</w:t>
      </w:r>
      <w:r w:rsidRPr="00B32339">
        <w:rPr>
          <w:sz w:val="24"/>
          <w:szCs w:val="24"/>
        </w:rPr>
        <w:t>. 201</w:t>
      </w:r>
      <w:r w:rsidR="00C579EB">
        <w:rPr>
          <w:sz w:val="24"/>
          <w:szCs w:val="24"/>
        </w:rPr>
        <w:t>6</w:t>
      </w:r>
    </w:p>
    <w:p w:rsidR="0052356F" w:rsidRPr="00DC53F0" w:rsidRDefault="0052356F" w:rsidP="0052356F">
      <w:pPr>
        <w:pStyle w:val="Paragrafneslovan"/>
        <w:ind w:left="3540" w:hanging="3540"/>
        <w:rPr>
          <w:sz w:val="16"/>
          <w:szCs w:val="16"/>
        </w:rPr>
      </w:pPr>
      <w:r w:rsidRPr="00DC53F0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47AA19" wp14:editId="7C557D16">
                <wp:simplePos x="0" y="0"/>
                <wp:positionH relativeFrom="column">
                  <wp:posOffset>-62865</wp:posOffset>
                </wp:positionH>
                <wp:positionV relativeFrom="paragraph">
                  <wp:posOffset>42880</wp:posOffset>
                </wp:positionV>
                <wp:extent cx="599503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4pt" to="467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"/>
            </w:pict>
          </mc:Fallback>
        </mc:AlternateContent>
      </w:r>
    </w:p>
    <w:p w:rsidR="0052356F" w:rsidRDefault="0052356F" w:rsidP="0052356F">
      <w:pPr>
        <w:pStyle w:val="Paragrafneslovan"/>
        <w:ind w:left="3540" w:hanging="3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01E">
        <w:rPr>
          <w:sz w:val="24"/>
          <w:szCs w:val="24"/>
        </w:rPr>
        <w:t xml:space="preserve">   </w:t>
      </w:r>
      <w:r>
        <w:rPr>
          <w:sz w:val="24"/>
          <w:szCs w:val="24"/>
        </w:rPr>
        <w:t>Zodpovídá: H. Matoušová, členka RMP</w:t>
      </w:r>
    </w:p>
    <w:p w:rsidR="0052356F" w:rsidRDefault="0052356F" w:rsidP="006C0D64">
      <w:pPr>
        <w:pStyle w:val="Paragrafneslovan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F501E">
        <w:rPr>
          <w:sz w:val="24"/>
          <w:szCs w:val="24"/>
        </w:rPr>
        <w:t xml:space="preserve">  </w:t>
      </w:r>
      <w:r>
        <w:rPr>
          <w:sz w:val="24"/>
          <w:szCs w:val="24"/>
        </w:rPr>
        <w:t>Ing. Hasmanová</w:t>
      </w:r>
    </w:p>
    <w:p w:rsidR="007E6374" w:rsidRDefault="007E6374" w:rsidP="006C0D64">
      <w:pPr>
        <w:pStyle w:val="Paragrafneslovan"/>
        <w:ind w:left="5664"/>
        <w:rPr>
          <w:sz w:val="24"/>
          <w:szCs w:val="24"/>
        </w:rPr>
      </w:pPr>
    </w:p>
    <w:p w:rsidR="0052356F" w:rsidRDefault="0052356F" w:rsidP="0052356F">
      <w:pPr>
        <w:pStyle w:val="Paragrafneslovan"/>
        <w:ind w:left="5664"/>
        <w:rPr>
          <w:sz w:val="24"/>
          <w:szCs w:val="24"/>
        </w:rPr>
      </w:pPr>
    </w:p>
    <w:p w:rsidR="0052356F" w:rsidRPr="00D22C54" w:rsidRDefault="0052356F" w:rsidP="0052356F">
      <w:pPr>
        <w:ind w:firstLine="0"/>
        <w:rPr>
          <w:sz w:val="4"/>
          <w:szCs w:val="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537"/>
        <w:gridCol w:w="3119"/>
      </w:tblGrid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lastRenderedPageBreak/>
              <w:t>Zprávu předkládá: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H. Matoušová, členka RMP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Zprávu zpracoval</w:t>
            </w:r>
            <w:r w:rsidR="00C579EB">
              <w:rPr>
                <w:sz w:val="24"/>
                <w:szCs w:val="24"/>
              </w:rPr>
              <w:t>a</w:t>
            </w:r>
            <w:r w:rsidRPr="00160C27">
              <w:rPr>
                <w:sz w:val="24"/>
                <w:szCs w:val="24"/>
              </w:rPr>
              <w:t xml:space="preserve">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C579EB" w:rsidP="00C579EB">
            <w:pPr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0C27" w:rsidRPr="00160C2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10</w:t>
            </w:r>
            <w:r w:rsidR="00160C27" w:rsidRPr="00160C27">
              <w:rPr>
                <w:sz w:val="24"/>
                <w:szCs w:val="24"/>
              </w:rPr>
              <w:t>. 201</w:t>
            </w:r>
            <w:r w:rsidR="007E6374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A7ABB">
            <w:pPr>
              <w:tabs>
                <w:tab w:val="right" w:pos="0"/>
              </w:tabs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Mgr. Zvonečková, MAJ MMP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 xml:space="preserve">Schůze </w:t>
            </w:r>
            <w:r>
              <w:rPr>
                <w:sz w:val="24"/>
                <w:szCs w:val="24"/>
              </w:rPr>
              <w:t>Z</w:t>
            </w:r>
            <w:r w:rsidRPr="00160C27">
              <w:rPr>
                <w:sz w:val="24"/>
                <w:szCs w:val="24"/>
              </w:rPr>
              <w:t>MP se zúčastní: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Ing. Hasmanová, VO MAJ MMP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Obsah zprávy projednán s: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 xml:space="preserve">Ing. Kuglerovou, </w:t>
            </w:r>
            <w:r w:rsidR="007E6374">
              <w:rPr>
                <w:sz w:val="24"/>
                <w:szCs w:val="24"/>
              </w:rPr>
              <w:t xml:space="preserve">MBA, </w:t>
            </w:r>
            <w:r w:rsidRPr="00160C27">
              <w:rPr>
                <w:sz w:val="24"/>
                <w:szCs w:val="24"/>
              </w:rPr>
              <w:t>ŘEÚ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D647B">
            <w:pPr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souhlasí   </w:t>
            </w:r>
            <w:r w:rsidRPr="00160C27">
              <w:rPr>
                <w:sz w:val="24"/>
                <w:szCs w:val="24"/>
              </w:rPr>
              <w:t xml:space="preserve">      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Vyvěšeno na úřední desce: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nepodléhá zveřejnění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Projednáno v</w:t>
            </w:r>
            <w:r w:rsidRPr="00160C27">
              <w:rPr>
                <w:sz w:val="24"/>
                <w:szCs w:val="24"/>
              </w:rPr>
              <w:t xml:space="preserve"> RMP: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C579EB" w:rsidP="00C579EB">
            <w:pPr>
              <w:tabs>
                <w:tab w:val="right" w:pos="3609"/>
              </w:tabs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60C27" w:rsidRPr="00160C2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10</w:t>
            </w:r>
            <w:r w:rsidR="00160C27" w:rsidRPr="00160C27">
              <w:rPr>
                <w:sz w:val="24"/>
                <w:szCs w:val="24"/>
              </w:rPr>
              <w:t>. 201</w:t>
            </w:r>
            <w:r w:rsidR="007E6374">
              <w:rPr>
                <w:sz w:val="24"/>
                <w:szCs w:val="24"/>
              </w:rPr>
              <w:t>5</w:t>
            </w:r>
            <w:r w:rsidR="001A7ABB">
              <w:rPr>
                <w:sz w:val="24"/>
                <w:szCs w:val="24"/>
              </w:rPr>
              <w:t xml:space="preserve">   </w:t>
            </w:r>
            <w:r w:rsidR="001C40D4">
              <w:rPr>
                <w:sz w:val="24"/>
                <w:szCs w:val="24"/>
              </w:rPr>
              <w:t xml:space="preserve">                              </w:t>
            </w:r>
            <w:r w:rsidR="001D647B">
              <w:rPr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="00160C27" w:rsidRPr="00C579EB">
              <w:rPr>
                <w:sz w:val="24"/>
                <w:szCs w:val="24"/>
              </w:rPr>
              <w:t>č. usnesení:</w:t>
            </w:r>
            <w:r w:rsidR="00B172B5" w:rsidRPr="00C579EB">
              <w:rPr>
                <w:sz w:val="24"/>
                <w:szCs w:val="24"/>
              </w:rPr>
              <w:t xml:space="preserve"> </w:t>
            </w:r>
            <w:r w:rsidRPr="00C579EB">
              <w:rPr>
                <w:sz w:val="24"/>
                <w:szCs w:val="24"/>
              </w:rPr>
              <w:t>1060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</w:tbl>
    <w:p w:rsidR="004B48DF" w:rsidRDefault="001D647B" w:rsidP="006C0D64">
      <w:pPr>
        <w:ind w:firstLine="0"/>
      </w:pPr>
    </w:p>
    <w:sectPr w:rsidR="004B48DF" w:rsidSect="00DC53F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64"/>
    <w:multiLevelType w:val="hybridMultilevel"/>
    <w:tmpl w:val="E7982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F7349"/>
    <w:multiLevelType w:val="hybridMultilevel"/>
    <w:tmpl w:val="08EE1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94CAE"/>
    <w:multiLevelType w:val="hybridMultilevel"/>
    <w:tmpl w:val="F8B27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3F9E"/>
    <w:multiLevelType w:val="singleLevel"/>
    <w:tmpl w:val="05CA63F2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7D5B5BA8"/>
    <w:multiLevelType w:val="hybridMultilevel"/>
    <w:tmpl w:val="0E8C8514"/>
    <w:lvl w:ilvl="0" w:tplc="CB68FF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3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6F"/>
    <w:rsid w:val="00035375"/>
    <w:rsid w:val="00160C27"/>
    <w:rsid w:val="00172B23"/>
    <w:rsid w:val="001A7ABB"/>
    <w:rsid w:val="001C40D4"/>
    <w:rsid w:val="001D5AC0"/>
    <w:rsid w:val="001D647B"/>
    <w:rsid w:val="002F501E"/>
    <w:rsid w:val="003B3FF6"/>
    <w:rsid w:val="00400F85"/>
    <w:rsid w:val="004F1474"/>
    <w:rsid w:val="0052356F"/>
    <w:rsid w:val="00545A5F"/>
    <w:rsid w:val="00575F69"/>
    <w:rsid w:val="006862C3"/>
    <w:rsid w:val="006C0D64"/>
    <w:rsid w:val="006C3CFF"/>
    <w:rsid w:val="006D0D6E"/>
    <w:rsid w:val="007B49AD"/>
    <w:rsid w:val="007E6374"/>
    <w:rsid w:val="00994C4B"/>
    <w:rsid w:val="009D6FF1"/>
    <w:rsid w:val="00B172B5"/>
    <w:rsid w:val="00C16674"/>
    <w:rsid w:val="00C579EB"/>
    <w:rsid w:val="00E33ABE"/>
    <w:rsid w:val="00ED25AB"/>
    <w:rsid w:val="00EE7A1F"/>
    <w:rsid w:val="00F4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56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2356F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35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5235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52356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2356F"/>
    <w:pPr>
      <w:ind w:right="-199" w:firstLine="0"/>
      <w:jc w:val="both"/>
    </w:pPr>
    <w:rPr>
      <w:sz w:val="20"/>
    </w:rPr>
  </w:style>
  <w:style w:type="paragraph" w:customStyle="1" w:styleId="parzahl">
    <w:name w:val="parzahl"/>
    <w:basedOn w:val="Normln"/>
    <w:next w:val="Paragrafneslovan"/>
    <w:rsid w:val="0052356F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235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2356F"/>
    <w:pPr>
      <w:ind w:right="3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2356F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Zkladntext21">
    <w:name w:val="Základní text 21"/>
    <w:basedOn w:val="Normln"/>
    <w:rsid w:val="005235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vlevot">
    <w:name w:val="vlevot"/>
    <w:basedOn w:val="vlevo"/>
    <w:autoRedefine/>
    <w:rsid w:val="0052356F"/>
    <w:rPr>
      <w:b/>
    </w:rPr>
  </w:style>
  <w:style w:type="paragraph" w:styleId="Odstavecseseznamem">
    <w:name w:val="List Paragraph"/>
    <w:basedOn w:val="Normln"/>
    <w:uiPriority w:val="34"/>
    <w:qFormat/>
    <w:rsid w:val="002F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56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2356F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35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5235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52356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2356F"/>
    <w:pPr>
      <w:ind w:right="-199" w:firstLine="0"/>
      <w:jc w:val="both"/>
    </w:pPr>
    <w:rPr>
      <w:sz w:val="20"/>
    </w:rPr>
  </w:style>
  <w:style w:type="paragraph" w:customStyle="1" w:styleId="parzahl">
    <w:name w:val="parzahl"/>
    <w:basedOn w:val="Normln"/>
    <w:next w:val="Paragrafneslovan"/>
    <w:rsid w:val="0052356F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235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2356F"/>
    <w:pPr>
      <w:ind w:right="3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2356F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Zkladntext21">
    <w:name w:val="Základní text 21"/>
    <w:basedOn w:val="Normln"/>
    <w:rsid w:val="005235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vlevot">
    <w:name w:val="vlevot"/>
    <w:basedOn w:val="vlevo"/>
    <w:autoRedefine/>
    <w:rsid w:val="0052356F"/>
    <w:rPr>
      <w:b/>
    </w:rPr>
  </w:style>
  <w:style w:type="paragraph" w:styleId="Odstavecseseznamem">
    <w:name w:val="List Paragraph"/>
    <w:basedOn w:val="Normln"/>
    <w:uiPriority w:val="34"/>
    <w:qFormat/>
    <w:rsid w:val="002F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Kotáb Richard</dc:creator>
  <cp:lastModifiedBy>Zvonečková Jana</cp:lastModifiedBy>
  <cp:revision>14</cp:revision>
  <cp:lastPrinted>2015-04-17T10:19:00Z</cp:lastPrinted>
  <dcterms:created xsi:type="dcterms:W3CDTF">2014-05-21T14:09:00Z</dcterms:created>
  <dcterms:modified xsi:type="dcterms:W3CDTF">2015-11-02T08:25:00Z</dcterms:modified>
</cp:coreProperties>
</file>