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B23C15">
      <w:pPr>
        <w:pStyle w:val="ostzahl"/>
      </w:pPr>
      <w:r>
        <w:t>1. Název problému a jeho charakteristika</w:t>
      </w:r>
    </w:p>
    <w:p w:rsidR="006B602D" w:rsidRDefault="00EE6FAC" w:rsidP="00B60C11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</w:pPr>
      <w:r>
        <w:t xml:space="preserve">Uzavření smlouvy o zřízení služebnosti </w:t>
      </w:r>
      <w:r w:rsidRPr="0014211F">
        <w:t xml:space="preserve">umístění a provozování </w:t>
      </w:r>
      <w:r w:rsidR="006044F4">
        <w:t xml:space="preserve">elektrické přípojky </w:t>
      </w:r>
      <w:r w:rsidRPr="0014211F">
        <w:t>v pozem</w:t>
      </w:r>
      <w:r w:rsidR="0014211F" w:rsidRPr="0014211F">
        <w:t>cích</w:t>
      </w:r>
      <w:r w:rsidRPr="0014211F">
        <w:t xml:space="preserve"> </w:t>
      </w:r>
      <w:proofErr w:type="spellStart"/>
      <w:r w:rsidRPr="0014211F">
        <w:t>parc</w:t>
      </w:r>
      <w:proofErr w:type="spellEnd"/>
      <w:r w:rsidRPr="0014211F">
        <w:t xml:space="preserve">. č. </w:t>
      </w:r>
      <w:r w:rsidR="006044F4">
        <w:t>2412/10 a 2412/41</w:t>
      </w:r>
      <w:r w:rsidRPr="0014211F">
        <w:t xml:space="preserve"> </w:t>
      </w:r>
      <w:proofErr w:type="spellStart"/>
      <w:r w:rsidRPr="0014211F">
        <w:t>k.ú</w:t>
      </w:r>
      <w:proofErr w:type="spellEnd"/>
      <w:r w:rsidRPr="0014211F">
        <w:t>.</w:t>
      </w:r>
      <w:r w:rsidR="0014211F">
        <w:t xml:space="preserve"> Plzeň</w:t>
      </w:r>
      <w:r w:rsidR="006044F4">
        <w:t xml:space="preserve"> 4</w:t>
      </w:r>
      <w:r w:rsidR="0014211F">
        <w:t>. Pozem</w:t>
      </w:r>
      <w:r w:rsidRPr="0014211F">
        <w:t>k</w:t>
      </w:r>
      <w:r w:rsidR="0014211F">
        <w:t>y</w:t>
      </w:r>
      <w:r w:rsidRPr="0014211F">
        <w:t xml:space="preserve"> j</w:t>
      </w:r>
      <w:r w:rsidR="0014211F">
        <w:t>sou</w:t>
      </w:r>
      <w:r w:rsidRPr="0014211F">
        <w:t xml:space="preserve"> ve vlastnictví </w:t>
      </w:r>
      <w:r w:rsidR="006044F4">
        <w:t>společnosti BENZINA , s.r.o.</w:t>
      </w:r>
    </w:p>
    <w:p w:rsidR="00D150F1" w:rsidRDefault="00D150F1" w:rsidP="00B23C15">
      <w:pPr>
        <w:pStyle w:val="ostzahl"/>
      </w:pPr>
      <w:r>
        <w:t>2. Konstatování současného stavu a jeho analýza</w:t>
      </w:r>
    </w:p>
    <w:p w:rsidR="00B6266C" w:rsidRDefault="00B6266C" w:rsidP="00DD5985">
      <w:pPr>
        <w:pStyle w:val="vlevo"/>
      </w:pPr>
      <w: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</w:t>
      </w:r>
      <w:r w:rsidR="006B6943">
        <w:t>itých věcí zastupitelstvo obce.</w:t>
      </w:r>
    </w:p>
    <w:p w:rsidR="00B6266C" w:rsidRDefault="00B6266C" w:rsidP="00DD5985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2C5C42" w:rsidRDefault="006044F4" w:rsidP="00DD5985">
      <w:pPr>
        <w:pStyle w:val="vlevo"/>
      </w:pPr>
      <w:r>
        <w:t xml:space="preserve">V rámci </w:t>
      </w:r>
      <w:r w:rsidR="00EE6FAC">
        <w:t>stavb</w:t>
      </w:r>
      <w:r>
        <w:t>y</w:t>
      </w:r>
      <w:r w:rsidR="00EE6FAC">
        <w:t xml:space="preserve"> „</w:t>
      </w:r>
      <w:r w:rsidRPr="00036ADA">
        <w:rPr>
          <w:szCs w:val="24"/>
        </w:rPr>
        <w:t xml:space="preserve">C.14 </w:t>
      </w:r>
      <w:proofErr w:type="spellStart"/>
      <w:r w:rsidRPr="00036ADA">
        <w:rPr>
          <w:szCs w:val="24"/>
        </w:rPr>
        <w:t>Elektropřípojka</w:t>
      </w:r>
      <w:proofErr w:type="spellEnd"/>
      <w:r w:rsidRPr="00036ADA">
        <w:rPr>
          <w:szCs w:val="24"/>
        </w:rPr>
        <w:t xml:space="preserve"> pro ČS – SO 11.58 Čerpací stanice Rokycanská jako součást stavby ČISTÁ BEROUNKA II. ETAPA – 11.C. PLZEŇ-ÚSLAVSKÝ SBĚRAČ</w:t>
      </w:r>
      <w:r w:rsidR="00EE6FAC">
        <w:t>“</w:t>
      </w:r>
      <w:r>
        <w:t xml:space="preserve"> došlo na pozemcích </w:t>
      </w:r>
      <w:proofErr w:type="spellStart"/>
      <w:r w:rsidRPr="0014211F">
        <w:t>parc</w:t>
      </w:r>
      <w:proofErr w:type="spellEnd"/>
      <w:r w:rsidRPr="0014211F">
        <w:t xml:space="preserve">. č. </w:t>
      </w:r>
      <w:r>
        <w:t>2412/10 a 2412/41</w:t>
      </w:r>
      <w:r w:rsidRPr="0014211F">
        <w:t xml:space="preserve"> </w:t>
      </w:r>
      <w:proofErr w:type="spellStart"/>
      <w:r w:rsidRPr="0014211F">
        <w:t>k.ú</w:t>
      </w:r>
      <w:proofErr w:type="spellEnd"/>
      <w:r w:rsidRPr="0014211F">
        <w:t>.</w:t>
      </w:r>
      <w:r>
        <w:t xml:space="preserve"> Plzeň 4 k realizaci elektrické přípojky statutárního města Plzeň</w:t>
      </w:r>
      <w:r w:rsidR="00EE6FAC">
        <w:t xml:space="preserve">. </w:t>
      </w:r>
      <w:r w:rsidR="0014211F">
        <w:t>V</w:t>
      </w:r>
      <w:r>
        <w:t xml:space="preserve">zhledem ke skutečnosti, že tyto pozemky jsou ve vlastnictví společnosti </w:t>
      </w:r>
      <w:r>
        <w:rPr>
          <w:szCs w:val="24"/>
        </w:rPr>
        <w:t xml:space="preserve">BENZINA , s.r.o., </w:t>
      </w:r>
      <w:r w:rsidR="0014211F">
        <w:t xml:space="preserve">je nutné vztah mezi vlastníkem </w:t>
      </w:r>
      <w:r>
        <w:t>elektrické přípojky</w:t>
      </w:r>
      <w:r w:rsidR="0014211F">
        <w:t xml:space="preserve"> a vlastníkem pozemků smluvně vyřešit. Tento majetkový vztah se zpravidla řeší formou zřízení služebnosti ve prospěch vlastníka inženýrské sítě.</w:t>
      </w:r>
    </w:p>
    <w:p w:rsidR="00B6266C" w:rsidRDefault="00D31843" w:rsidP="00DD5985">
      <w:pPr>
        <w:pStyle w:val="vlevo"/>
      </w:pPr>
      <w:r w:rsidRPr="001E6820">
        <w:t>Smlouv</w:t>
      </w:r>
      <w:r w:rsidR="00B23C15">
        <w:t>a</w:t>
      </w:r>
      <w:r w:rsidRPr="001E6820">
        <w:t xml:space="preserve"> o zřízení služebnost</w:t>
      </w:r>
      <w:r w:rsidR="00B23C15">
        <w:t>i</w:t>
      </w:r>
      <w:r w:rsidRPr="001E6820">
        <w:t xml:space="preserve"> bud</w:t>
      </w:r>
      <w:r w:rsidR="00B23C15">
        <w:t>e</w:t>
      </w:r>
      <w:r w:rsidRPr="001E6820">
        <w:t xml:space="preserve"> </w:t>
      </w:r>
      <w:r w:rsidRPr="00B272E3">
        <w:t>uzavřen</w:t>
      </w:r>
      <w:r w:rsidR="00B23C15">
        <w:t>a</w:t>
      </w:r>
      <w:r w:rsidRPr="00B272E3">
        <w:t xml:space="preserve"> </w:t>
      </w:r>
      <w:r w:rsidR="006044F4" w:rsidRPr="00575A34">
        <w:rPr>
          <w:szCs w:val="24"/>
        </w:rPr>
        <w:t>mezi statutárním městem Plzeň (oprávněný)</w:t>
      </w:r>
      <w:r w:rsidR="006044F4">
        <w:rPr>
          <w:szCs w:val="24"/>
        </w:rPr>
        <w:t xml:space="preserve"> a společností BENZINA , s.r.o., se sídlem Na Pankráci 127, 140 00 Praha 4, IČ 60193328 (povinný).</w:t>
      </w:r>
    </w:p>
    <w:p w:rsidR="00D150F1" w:rsidRDefault="00D150F1" w:rsidP="00B23C15">
      <w:pPr>
        <w:pStyle w:val="ostzahl"/>
      </w:pPr>
      <w:r>
        <w:t>3. Předpokládaný cílový stav</w:t>
      </w:r>
    </w:p>
    <w:p w:rsidR="00D150F1" w:rsidRDefault="00432294" w:rsidP="00DD5985">
      <w:pPr>
        <w:pStyle w:val="vlevo"/>
        <w:rPr>
          <w:bCs/>
        </w:rPr>
      </w:pPr>
      <w:r>
        <w:t>Zřízení služebnost</w:t>
      </w:r>
      <w:r w:rsidR="00784A17">
        <w:t>i</w:t>
      </w:r>
      <w:r w:rsidR="00D91A23">
        <w:t xml:space="preserve"> ve prospěch statutárního města Plzně, a to na pozem</w:t>
      </w:r>
      <w:r w:rsidR="0014211F">
        <w:t>cích</w:t>
      </w:r>
      <w:r w:rsidR="00121C7B">
        <w:t xml:space="preserve"> </w:t>
      </w:r>
      <w:proofErr w:type="spellStart"/>
      <w:r w:rsidR="006044F4" w:rsidRPr="0014211F">
        <w:t>parc</w:t>
      </w:r>
      <w:proofErr w:type="spellEnd"/>
      <w:r w:rsidR="006044F4" w:rsidRPr="0014211F">
        <w:t xml:space="preserve">. č. </w:t>
      </w:r>
      <w:r w:rsidR="006044F4">
        <w:t>2412/10 a 2412/41</w:t>
      </w:r>
      <w:r w:rsidR="006044F4" w:rsidRPr="0014211F">
        <w:t xml:space="preserve"> </w:t>
      </w:r>
      <w:proofErr w:type="spellStart"/>
      <w:r w:rsidR="006044F4" w:rsidRPr="0014211F">
        <w:t>k.ú</w:t>
      </w:r>
      <w:proofErr w:type="spellEnd"/>
      <w:r w:rsidR="006044F4" w:rsidRPr="0014211F">
        <w:t>.</w:t>
      </w:r>
      <w:r w:rsidR="006044F4">
        <w:t xml:space="preserve"> Plzeň 4</w:t>
      </w:r>
      <w:r w:rsidR="00BD4438">
        <w:t>.</w:t>
      </w:r>
    </w:p>
    <w:p w:rsidR="00D150F1" w:rsidRDefault="00D150F1" w:rsidP="00B23C15">
      <w:pPr>
        <w:pStyle w:val="ostzahl"/>
      </w:pPr>
      <w:r>
        <w:t>4. Navrhované varianty řešení</w:t>
      </w:r>
    </w:p>
    <w:p w:rsidR="00D150F1" w:rsidRDefault="00963392" w:rsidP="00DD5985">
      <w:pPr>
        <w:pStyle w:val="vlevo"/>
      </w:pPr>
      <w:r>
        <w:t>Nejsou.</w:t>
      </w:r>
    </w:p>
    <w:p w:rsidR="00D150F1" w:rsidRDefault="00D150F1" w:rsidP="00B23C15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B23C15">
      <w:pPr>
        <w:pStyle w:val="ostzahl"/>
      </w:pPr>
      <w:r>
        <w:t>6. Finanční nároky řešení a možnosti finančního krytí</w:t>
      </w:r>
    </w:p>
    <w:p w:rsidR="00D150F1" w:rsidRDefault="00B23C15">
      <w:pPr>
        <w:pStyle w:val="Zkladntextodsazen"/>
        <w:ind w:firstLine="0"/>
        <w:jc w:val="both"/>
      </w:pPr>
      <w:r>
        <w:rPr>
          <w:szCs w:val="24"/>
        </w:rPr>
        <w:t>S</w:t>
      </w:r>
      <w:r w:rsidR="00D91A23">
        <w:rPr>
          <w:szCs w:val="24"/>
        </w:rPr>
        <w:t xml:space="preserve">lužebnost </w:t>
      </w:r>
      <w:r w:rsidR="00121C7B" w:rsidRPr="00121C7B">
        <w:rPr>
          <w:szCs w:val="24"/>
        </w:rPr>
        <w:t xml:space="preserve">bude zřízena úplatně. Cena </w:t>
      </w:r>
      <w:r w:rsidR="006044F4">
        <w:rPr>
          <w:szCs w:val="24"/>
        </w:rPr>
        <w:t>byla stanovena smluvními stranami před realizací stavby a činí 50.000,- Kč bez DPH.</w:t>
      </w:r>
      <w:r w:rsidR="00C50687" w:rsidRPr="00121C7B">
        <w:rPr>
          <w:szCs w:val="24"/>
        </w:rPr>
        <w:t xml:space="preserve"> Cen</w:t>
      </w:r>
      <w:r w:rsidR="00E5375A">
        <w:rPr>
          <w:szCs w:val="24"/>
        </w:rPr>
        <w:t>a</w:t>
      </w:r>
      <w:r w:rsidR="00C50687" w:rsidRPr="00121C7B">
        <w:rPr>
          <w:szCs w:val="24"/>
        </w:rPr>
        <w:t xml:space="preserve"> za zřízení </w:t>
      </w:r>
      <w:r w:rsidR="00E5375A">
        <w:rPr>
          <w:szCs w:val="24"/>
        </w:rPr>
        <w:t>služebnost</w:t>
      </w:r>
      <w:r w:rsidR="00D34665">
        <w:rPr>
          <w:szCs w:val="24"/>
        </w:rPr>
        <w:t>i</w:t>
      </w:r>
      <w:r w:rsidR="00E5375A">
        <w:rPr>
          <w:szCs w:val="24"/>
        </w:rPr>
        <w:t xml:space="preserve"> bude hrazena z rozpočtu Odboru rozvoje a plánování Magistrátu města Plzně.</w:t>
      </w:r>
    </w:p>
    <w:p w:rsidR="00D150F1" w:rsidRDefault="00D150F1" w:rsidP="00B23C15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B23C15">
      <w:pPr>
        <w:pStyle w:val="ostzahl"/>
      </w:pPr>
      <w:r>
        <w:t>8. Dříve přijatá usnesení orgánů města nebo městských obvodů, která s tímto návrhem souvisejí</w:t>
      </w:r>
    </w:p>
    <w:p w:rsidR="00D150F1" w:rsidRDefault="008234CC" w:rsidP="00DD5985">
      <w:pPr>
        <w:pStyle w:val="vlevo"/>
      </w:pPr>
      <w:r>
        <w:t xml:space="preserve">Usnesení RMP č. </w:t>
      </w:r>
      <w:r w:rsidR="004908D5">
        <w:t xml:space="preserve">1138 </w:t>
      </w:r>
      <w:bookmarkStart w:id="0" w:name="_GoBack"/>
      <w:bookmarkEnd w:id="0"/>
      <w:r>
        <w:t>ze dne 29. 10. 2015</w:t>
      </w:r>
      <w:r w:rsidR="00963392">
        <w:t>.</w:t>
      </w:r>
    </w:p>
    <w:p w:rsidR="008234CC" w:rsidRDefault="008234CC" w:rsidP="00DD5985">
      <w:pPr>
        <w:pStyle w:val="vlevo"/>
      </w:pPr>
    </w:p>
    <w:p w:rsidR="00D91A23" w:rsidRPr="00D91A23" w:rsidRDefault="00D150F1" w:rsidP="00B23C15">
      <w:pPr>
        <w:pStyle w:val="ostzahl"/>
      </w:pPr>
      <w:r>
        <w:lastRenderedPageBreak/>
        <w:t>9. Závazky či pohledávky vůči městu Plzni</w:t>
      </w:r>
    </w:p>
    <w:p w:rsidR="00D150F1" w:rsidRDefault="00D150F1" w:rsidP="00DD5985">
      <w:pPr>
        <w:pStyle w:val="vlevo"/>
      </w:pPr>
      <w:r>
        <w:t>Nejsou zjišťovány.</w:t>
      </w:r>
    </w:p>
    <w:p w:rsidR="005310EF" w:rsidRPr="00C50687" w:rsidRDefault="005310EF" w:rsidP="00DD5985">
      <w:pPr>
        <w:pStyle w:val="vlevo"/>
        <w:rPr>
          <w:b/>
        </w:rPr>
      </w:pPr>
      <w:r w:rsidRPr="00C50687">
        <w:rPr>
          <w:b/>
        </w:rPr>
        <w:t>10. Přílohy</w:t>
      </w:r>
    </w:p>
    <w:p w:rsidR="00541DE8" w:rsidRDefault="00235DBD" w:rsidP="00DD5985">
      <w:pPr>
        <w:pStyle w:val="vlevo"/>
      </w:pPr>
      <w:r>
        <w:t>P1 –</w:t>
      </w:r>
      <w:r w:rsidRPr="00394427">
        <w:t xml:space="preserve"> </w:t>
      </w:r>
      <w:r w:rsidR="00541DE8">
        <w:t xml:space="preserve">smlouva o zřízení </w:t>
      </w:r>
      <w:r w:rsidR="00C50687">
        <w:t>služebnosti</w:t>
      </w:r>
    </w:p>
    <w:p w:rsidR="00235DBD" w:rsidRDefault="00541DE8" w:rsidP="00DD5985">
      <w:pPr>
        <w:pStyle w:val="vlevo"/>
      </w:pPr>
      <w:r>
        <w:t>P</w:t>
      </w:r>
      <w:r w:rsidR="00D34665">
        <w:t>2</w:t>
      </w:r>
      <w:r>
        <w:t xml:space="preserve"> – </w:t>
      </w:r>
      <w:r w:rsidR="00D91A23">
        <w:t>orientační mapa</w:t>
      </w:r>
    </w:p>
    <w:p w:rsidR="007F09FB" w:rsidRDefault="00D34665" w:rsidP="00DD5985">
      <w:pPr>
        <w:pStyle w:val="vlevo"/>
      </w:pPr>
      <w:r>
        <w:t>P3</w:t>
      </w:r>
      <w:r w:rsidR="00235DBD">
        <w:t xml:space="preserve"> –</w:t>
      </w:r>
      <w:r w:rsidR="00235DBD" w:rsidRPr="003724F5">
        <w:t xml:space="preserve"> </w:t>
      </w:r>
      <w:r>
        <w:t>geometrický plán</w:t>
      </w:r>
    </w:p>
    <w:p w:rsidR="00382F69" w:rsidRDefault="00382F69" w:rsidP="00DD5985">
      <w:pPr>
        <w:pStyle w:val="vlevo"/>
        <w:rPr>
          <w:noProof/>
        </w:rPr>
      </w:pPr>
      <w:r>
        <w:t>P</w:t>
      </w:r>
      <w:r w:rsidR="00D34665">
        <w:t>4</w:t>
      </w:r>
      <w:r>
        <w:t xml:space="preserve"> – </w:t>
      </w:r>
      <w:r w:rsidR="007F09FB">
        <w:t>l</w:t>
      </w:r>
      <w:r>
        <w:rPr>
          <w:noProof/>
        </w:rPr>
        <w:t>eteck</w:t>
      </w:r>
      <w:r w:rsidR="00E62C7B">
        <w:rPr>
          <w:noProof/>
        </w:rPr>
        <w:t>ý</w:t>
      </w:r>
      <w:r>
        <w:rPr>
          <w:noProof/>
        </w:rPr>
        <w:t xml:space="preserve"> sním</w:t>
      </w:r>
      <w:r w:rsidR="00E62C7B">
        <w:rPr>
          <w:noProof/>
        </w:rPr>
        <w:t>e</w:t>
      </w:r>
      <w:r>
        <w:rPr>
          <w:noProof/>
        </w:rPr>
        <w:t>k</w:t>
      </w:r>
    </w:p>
    <w:p w:rsidR="007F09FB" w:rsidRDefault="00D34665" w:rsidP="00DD5985">
      <w:pPr>
        <w:pStyle w:val="vlevo"/>
        <w:rPr>
          <w:noProof/>
        </w:rPr>
      </w:pPr>
      <w:r>
        <w:rPr>
          <w:noProof/>
        </w:rPr>
        <w:t>P5</w:t>
      </w:r>
      <w:r w:rsidR="007F09FB">
        <w:rPr>
          <w:noProof/>
        </w:rPr>
        <w:t xml:space="preserve"> – územní plán</w:t>
      </w:r>
    </w:p>
    <w:p w:rsidR="007F09FB" w:rsidRDefault="00D34665" w:rsidP="00DD5985">
      <w:pPr>
        <w:pStyle w:val="vlevo"/>
        <w:rPr>
          <w:noProof/>
        </w:rPr>
      </w:pPr>
      <w:r>
        <w:rPr>
          <w:noProof/>
        </w:rPr>
        <w:t>P6</w:t>
      </w:r>
      <w:r w:rsidR="007F09FB">
        <w:rPr>
          <w:noProof/>
        </w:rPr>
        <w:t xml:space="preserve"> – městské pozemky – modrá mapa</w:t>
      </w:r>
    </w:p>
    <w:p w:rsidR="008234CC" w:rsidRDefault="008234CC" w:rsidP="00DD5985">
      <w:pPr>
        <w:pStyle w:val="vlevo"/>
        <w:rPr>
          <w:noProof/>
        </w:rPr>
      </w:pPr>
      <w:r>
        <w:rPr>
          <w:noProof/>
        </w:rPr>
        <w:t>P7 – usnesení RMP</w:t>
      </w:r>
    </w:p>
    <w:sectPr w:rsidR="008234CC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957"/>
    <w:multiLevelType w:val="hybridMultilevel"/>
    <w:tmpl w:val="5138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179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95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7"/>
    <w:rsid w:val="000422AB"/>
    <w:rsid w:val="00060D1C"/>
    <w:rsid w:val="000778C1"/>
    <w:rsid w:val="00086650"/>
    <w:rsid w:val="00121C7B"/>
    <w:rsid w:val="0014211F"/>
    <w:rsid w:val="001720D5"/>
    <w:rsid w:val="001B4639"/>
    <w:rsid w:val="00235DBD"/>
    <w:rsid w:val="002A2AE0"/>
    <w:rsid w:val="002C5C42"/>
    <w:rsid w:val="002F4B70"/>
    <w:rsid w:val="00306A45"/>
    <w:rsid w:val="00317E2A"/>
    <w:rsid w:val="00326AC0"/>
    <w:rsid w:val="003724F5"/>
    <w:rsid w:val="00382F69"/>
    <w:rsid w:val="00394427"/>
    <w:rsid w:val="00395ABE"/>
    <w:rsid w:val="00423050"/>
    <w:rsid w:val="00432294"/>
    <w:rsid w:val="004778C6"/>
    <w:rsid w:val="004908D5"/>
    <w:rsid w:val="005310EF"/>
    <w:rsid w:val="00541DE8"/>
    <w:rsid w:val="005611B6"/>
    <w:rsid w:val="00586CC1"/>
    <w:rsid w:val="005D49C5"/>
    <w:rsid w:val="00603193"/>
    <w:rsid w:val="006044F4"/>
    <w:rsid w:val="00684CB6"/>
    <w:rsid w:val="00697DF0"/>
    <w:rsid w:val="006B602D"/>
    <w:rsid w:val="006B6943"/>
    <w:rsid w:val="006F30B3"/>
    <w:rsid w:val="00740DB1"/>
    <w:rsid w:val="00784A17"/>
    <w:rsid w:val="007A246E"/>
    <w:rsid w:val="007F09FB"/>
    <w:rsid w:val="008234CC"/>
    <w:rsid w:val="008602F8"/>
    <w:rsid w:val="00881439"/>
    <w:rsid w:val="008A18E4"/>
    <w:rsid w:val="008F445C"/>
    <w:rsid w:val="0091689D"/>
    <w:rsid w:val="00932CEA"/>
    <w:rsid w:val="00963392"/>
    <w:rsid w:val="009644EA"/>
    <w:rsid w:val="009743BD"/>
    <w:rsid w:val="00976946"/>
    <w:rsid w:val="009B2D8D"/>
    <w:rsid w:val="00A227DC"/>
    <w:rsid w:val="00A45CB5"/>
    <w:rsid w:val="00AC6335"/>
    <w:rsid w:val="00AF2C4E"/>
    <w:rsid w:val="00B23C15"/>
    <w:rsid w:val="00B60C11"/>
    <w:rsid w:val="00B6266C"/>
    <w:rsid w:val="00BA3788"/>
    <w:rsid w:val="00BB31E0"/>
    <w:rsid w:val="00BD4438"/>
    <w:rsid w:val="00C15B97"/>
    <w:rsid w:val="00C50687"/>
    <w:rsid w:val="00CD437C"/>
    <w:rsid w:val="00D150F1"/>
    <w:rsid w:val="00D31843"/>
    <w:rsid w:val="00D34665"/>
    <w:rsid w:val="00D638FC"/>
    <w:rsid w:val="00D91A23"/>
    <w:rsid w:val="00D946B0"/>
    <w:rsid w:val="00DA74EC"/>
    <w:rsid w:val="00DC00B4"/>
    <w:rsid w:val="00DC1603"/>
    <w:rsid w:val="00DD4A4B"/>
    <w:rsid w:val="00DD5985"/>
    <w:rsid w:val="00E14663"/>
    <w:rsid w:val="00E518E3"/>
    <w:rsid w:val="00E5375A"/>
    <w:rsid w:val="00E62C7B"/>
    <w:rsid w:val="00EA26D3"/>
    <w:rsid w:val="00EE6FAC"/>
    <w:rsid w:val="00F25CEE"/>
    <w:rsid w:val="00F45893"/>
    <w:rsid w:val="00F47E8E"/>
    <w:rsid w:val="00F76D6C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9E90-5A81-4905-A7D8-536FB742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2014-07-30T06:47:00Z</cp:lastPrinted>
  <dcterms:created xsi:type="dcterms:W3CDTF">2015-10-30T08:19:00Z</dcterms:created>
  <dcterms:modified xsi:type="dcterms:W3CDTF">2015-10-30T09:46:00Z</dcterms:modified>
</cp:coreProperties>
</file>