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A1" w:rsidRDefault="00E705A1" w:rsidP="00E705A1">
      <w:pPr>
        <w:pStyle w:val="Nadpis3"/>
        <w:ind w:firstLine="0"/>
      </w:pPr>
      <w:r>
        <w:t>Důvodová zpráva</w:t>
      </w:r>
    </w:p>
    <w:p w:rsidR="00E705A1" w:rsidRPr="0001304F" w:rsidRDefault="00E705A1" w:rsidP="00E705A1">
      <w:pPr>
        <w:jc w:val="center"/>
        <w:rPr>
          <w:b/>
          <w:sz w:val="22"/>
          <w:szCs w:val="22"/>
        </w:rPr>
      </w:pPr>
    </w:p>
    <w:p w:rsidR="00E705A1" w:rsidRPr="00D816D8" w:rsidRDefault="00E705A1" w:rsidP="00E705A1">
      <w:pPr>
        <w:jc w:val="center"/>
        <w:rPr>
          <w:b/>
          <w:szCs w:val="24"/>
        </w:rPr>
      </w:pPr>
    </w:p>
    <w:p w:rsidR="00E705A1" w:rsidRDefault="00E705A1" w:rsidP="00E705A1">
      <w:pPr>
        <w:pStyle w:val="ostzahl"/>
        <w:numPr>
          <w:ilvl w:val="0"/>
          <w:numId w:val="2"/>
        </w:numPr>
        <w:tabs>
          <w:tab w:val="clear" w:pos="1668"/>
          <w:tab w:val="num" w:pos="360"/>
        </w:tabs>
        <w:spacing w:before="0"/>
        <w:ind w:left="357" w:hanging="357"/>
      </w:pPr>
      <w:r>
        <w:t>Název problému a jeho charakteristika</w:t>
      </w:r>
    </w:p>
    <w:p w:rsidR="00E705A1" w:rsidRDefault="00E705A1" w:rsidP="00E705A1">
      <w:pPr>
        <w:pStyle w:val="vlevo"/>
      </w:pPr>
      <w:r>
        <w:t xml:space="preserve">Majetkoprávní vypořádání </w:t>
      </w:r>
      <w:r w:rsidRPr="00C1353E">
        <w:t xml:space="preserve">v souvislosti se stavbou </w:t>
      </w:r>
      <w:r>
        <w:t>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Litice u Plzně (lokalita Dubová hora - západ) – HOCHTIEF CZ a.s, HEGEMON KL spol. s r.o</w:t>
      </w:r>
      <w:r w:rsidRPr="008708F8">
        <w:t>.</w:t>
      </w:r>
    </w:p>
    <w:p w:rsidR="00E705A1" w:rsidRPr="005E59B0" w:rsidRDefault="00E705A1" w:rsidP="00E705A1">
      <w:pPr>
        <w:pStyle w:val="vlevo"/>
        <w:rPr>
          <w:sz w:val="12"/>
          <w:szCs w:val="12"/>
        </w:rPr>
      </w:pPr>
    </w:p>
    <w:p w:rsidR="00E705A1" w:rsidRDefault="00E705A1" w:rsidP="00E705A1">
      <w:pPr>
        <w:pStyle w:val="ostzahl"/>
        <w:numPr>
          <w:ilvl w:val="0"/>
          <w:numId w:val="2"/>
        </w:numPr>
        <w:tabs>
          <w:tab w:val="clear" w:pos="1668"/>
          <w:tab w:val="num" w:pos="360"/>
        </w:tabs>
        <w:ind w:left="357" w:hanging="357"/>
      </w:pPr>
      <w:r>
        <w:t>Konstatování současného stavu a jeho analýza</w:t>
      </w:r>
    </w:p>
    <w:p w:rsidR="00E705A1" w:rsidRDefault="00E705A1" w:rsidP="00E705A1">
      <w:pPr>
        <w:jc w:val="both"/>
        <w:rPr>
          <w:szCs w:val="24"/>
        </w:rPr>
      </w:pPr>
      <w:r w:rsidRPr="00A203F0">
        <w:rPr>
          <w:szCs w:val="24"/>
        </w:rPr>
        <w:t>Společnosti HOCHTIEF CZ a.s. a HEGEMON KL spol. s r.o. (dále jen žadatelé) uzavřel</w:t>
      </w:r>
      <w:r>
        <w:rPr>
          <w:szCs w:val="24"/>
        </w:rPr>
        <w:t>y</w:t>
      </w:r>
      <w:r w:rsidRPr="00A203F0">
        <w:rPr>
          <w:szCs w:val="24"/>
        </w:rPr>
        <w:t xml:space="preserve"> s městem Plzní smlouvu o smlouvě budoucí kupní č. </w:t>
      </w:r>
      <w:r w:rsidRPr="00A203F0">
        <w:t>2010/002514</w:t>
      </w:r>
      <w:r w:rsidRPr="00A203F0">
        <w:rPr>
          <w:szCs w:val="24"/>
        </w:rPr>
        <w:t xml:space="preserve"> (dále jen </w:t>
      </w:r>
      <w:proofErr w:type="spellStart"/>
      <w:r w:rsidRPr="00A203F0">
        <w:rPr>
          <w:szCs w:val="24"/>
        </w:rPr>
        <w:t>SoSBK</w:t>
      </w:r>
      <w:proofErr w:type="spellEnd"/>
      <w:r w:rsidRPr="00A203F0">
        <w:rPr>
          <w:szCs w:val="24"/>
        </w:rPr>
        <w:t>) na převod nově vybudovaných staveb technické a dopravní infrastruktury (dále jen TDI), které budou vybudovány v rámci stavby</w:t>
      </w:r>
      <w:r>
        <w:rPr>
          <w:szCs w:val="24"/>
        </w:rPr>
        <w:t xml:space="preserve"> „Technická vybavenost a komunikace Dubová Hora – západ pro výstavbu rodinných domů“.</w:t>
      </w:r>
    </w:p>
    <w:p w:rsidR="00E705A1" w:rsidRDefault="00E705A1" w:rsidP="00E705A1">
      <w:pPr>
        <w:jc w:val="both"/>
        <w:rPr>
          <w:szCs w:val="24"/>
        </w:rPr>
      </w:pPr>
      <w:r>
        <w:rPr>
          <w:szCs w:val="24"/>
        </w:rPr>
        <w:t xml:space="preserve">Žadatelům bylo vydáno několik </w:t>
      </w:r>
      <w:r w:rsidRPr="00A203F0">
        <w:rPr>
          <w:szCs w:val="24"/>
        </w:rPr>
        <w:t>stavebních povolení</w:t>
      </w:r>
      <w:r>
        <w:rPr>
          <w:szCs w:val="24"/>
        </w:rPr>
        <w:t>, na základě kterých realizovali stavby TDI. V rámci rozsáhlé lokality byla ale zatím realizována pouze část stavby (jen některé větve), a proto žadatelé požádali o uzavření dodatku č. 1 k </w:t>
      </w:r>
      <w:proofErr w:type="spellStart"/>
      <w:r>
        <w:rPr>
          <w:szCs w:val="24"/>
        </w:rPr>
        <w:t>SoSBK</w:t>
      </w:r>
      <w:proofErr w:type="spellEnd"/>
      <w:r>
        <w:rPr>
          <w:szCs w:val="24"/>
        </w:rPr>
        <w:t>, který umožňuje přebírání TDI postupně. S tímto postup</w:t>
      </w:r>
      <w:r w:rsidR="00DC01EC">
        <w:rPr>
          <w:szCs w:val="24"/>
        </w:rPr>
        <w:t>em TÚ souhlasí (viz příloha č. 3</w:t>
      </w:r>
      <w:r>
        <w:rPr>
          <w:szCs w:val="24"/>
        </w:rPr>
        <w:t>) s tím, že v současné době je možné převzít větve 8a a 8b, které realizovala společnost HOCHTIEF CZ a.s., větev 2-IV, kterou realizovali žadatelé společně, a větev 2-V, kterou realizovala společnost HEGEMON KL spol. s r.o. Větve 6, 7 a 9, které realizuje společnost HEGEMON KL spol. s r.o., zatím převzít nelze.</w:t>
      </w:r>
      <w:r w:rsidR="00055C88">
        <w:rPr>
          <w:szCs w:val="24"/>
        </w:rPr>
        <w:t xml:space="preserve"> Na větve 8a, 8b a 2-IV byl</w:t>
      </w:r>
      <w:r w:rsidR="00C77860">
        <w:rPr>
          <w:szCs w:val="24"/>
        </w:rPr>
        <w:t>y</w:t>
      </w:r>
      <w:r w:rsidR="00055C88">
        <w:rPr>
          <w:szCs w:val="24"/>
        </w:rPr>
        <w:t xml:space="preserve"> vydán</w:t>
      </w:r>
      <w:r w:rsidR="00C77860">
        <w:rPr>
          <w:szCs w:val="24"/>
        </w:rPr>
        <w:t>y</w:t>
      </w:r>
      <w:r w:rsidR="00055C88">
        <w:rPr>
          <w:szCs w:val="24"/>
        </w:rPr>
        <w:t xml:space="preserve"> kolaudační souhlas</w:t>
      </w:r>
      <w:r w:rsidR="00C77860">
        <w:rPr>
          <w:szCs w:val="24"/>
        </w:rPr>
        <w:t>y</w:t>
      </w:r>
      <w:r w:rsidR="00055C88">
        <w:rPr>
          <w:szCs w:val="24"/>
        </w:rPr>
        <w:t xml:space="preserve"> </w:t>
      </w:r>
      <w:proofErr w:type="gramStart"/>
      <w:r w:rsidR="00055C88">
        <w:rPr>
          <w:szCs w:val="24"/>
        </w:rPr>
        <w:t>č.j.</w:t>
      </w:r>
      <w:proofErr w:type="gramEnd"/>
      <w:r w:rsidR="00055C88">
        <w:rPr>
          <w:szCs w:val="24"/>
        </w:rPr>
        <w:t xml:space="preserve">: MMP/111460/14 ze dne 21. 5. 2014 a </w:t>
      </w:r>
      <w:r w:rsidR="00C77860">
        <w:rPr>
          <w:szCs w:val="24"/>
        </w:rPr>
        <w:t xml:space="preserve">MMP/062763/14 ze dne 24. 3. 2014, na větev 2-V byly vydány kolaudační souhlasy </w:t>
      </w:r>
      <w:proofErr w:type="gramStart"/>
      <w:r w:rsidR="00C77860">
        <w:rPr>
          <w:szCs w:val="24"/>
        </w:rPr>
        <w:t>č.j.</w:t>
      </w:r>
      <w:proofErr w:type="gramEnd"/>
      <w:r w:rsidR="00C77860">
        <w:rPr>
          <w:szCs w:val="24"/>
        </w:rPr>
        <w:t>: MMP/263377/14 ze dne 12. 12. 2014 a MMP/062374/14 ze dne 24. 3. 2014.</w:t>
      </w:r>
    </w:p>
    <w:p w:rsidR="00E705A1" w:rsidRPr="00C26B1C" w:rsidRDefault="00E705A1" w:rsidP="00E705A1">
      <w:pPr>
        <w:jc w:val="both"/>
        <w:rPr>
          <w:szCs w:val="24"/>
        </w:rPr>
      </w:pPr>
      <w:r>
        <w:rPr>
          <w:szCs w:val="24"/>
        </w:rPr>
        <w:t>Kromě dodatku č. 1 k </w:t>
      </w:r>
      <w:proofErr w:type="spellStart"/>
      <w:r>
        <w:rPr>
          <w:szCs w:val="24"/>
        </w:rPr>
        <w:t>SoSBK</w:t>
      </w:r>
      <w:proofErr w:type="spellEnd"/>
      <w:r>
        <w:rPr>
          <w:szCs w:val="24"/>
        </w:rPr>
        <w:t xml:space="preserve"> budou uzavřeny konečné kupní smlouvy, jejichž předmětem budou jednotlivé stavby TDI – komunikace, veřejné osvětlení, vodovodní řady, kanalizační stoky, hřiště, opěrná zeď, odvodnění komunikací, a to za 1% z pořizovacích </w:t>
      </w:r>
      <w:r w:rsidRPr="00C26B1C">
        <w:rPr>
          <w:szCs w:val="24"/>
        </w:rPr>
        <w:t>nákladů na realizaci TDI.</w:t>
      </w:r>
      <w:r w:rsidRPr="00C26B1C">
        <w:rPr>
          <w:bCs/>
          <w:szCs w:val="24"/>
        </w:rPr>
        <w:t xml:space="preserve"> Smluvní kupní cena bude navýšena o DPH v zákonné sazbě.</w:t>
      </w:r>
      <w:r w:rsidRPr="00C26B1C">
        <w:rPr>
          <w:color w:val="000000"/>
        </w:rPr>
        <w:t xml:space="preserve"> Za vybudování sadových úprav a štěrkových chodníků</w:t>
      </w:r>
      <w:r w:rsidRPr="00C26B1C">
        <w:t>, které nemají povahu samostatné věci a staly se součástí pozemků, náleží žadatelům finanční náhrada, která bude stanovena jako 1% z pořizovacích nákladů na jejich realizaci.</w:t>
      </w:r>
      <w:r w:rsidRPr="00C26B1C">
        <w:rPr>
          <w:szCs w:val="24"/>
        </w:rPr>
        <w:t xml:space="preserve"> Tato finanční náhrada bude navýšena o DPH v zákonné sazbě.</w:t>
      </w:r>
    </w:p>
    <w:p w:rsidR="00E705A1" w:rsidRPr="00C26B1C" w:rsidRDefault="00E705A1" w:rsidP="00E705A1">
      <w:pPr>
        <w:jc w:val="both"/>
        <w:rPr>
          <w:color w:val="000000"/>
        </w:rPr>
      </w:pPr>
      <w:r w:rsidRPr="00C26B1C">
        <w:t>Získaný majetek bude svěřen do správy SVSMP nebo OSI MMP.</w:t>
      </w:r>
    </w:p>
    <w:p w:rsidR="00E705A1" w:rsidRDefault="00E705A1" w:rsidP="00E705A1">
      <w:pPr>
        <w:jc w:val="both"/>
      </w:pPr>
      <w:r w:rsidRPr="00C26B1C">
        <w:rPr>
          <w:rStyle w:val="platne1"/>
          <w:szCs w:val="24"/>
        </w:rPr>
        <w:t xml:space="preserve">Stanovisko TÚ k majetkoprávnímu vypořádání je kladné (viz příloha č. </w:t>
      </w:r>
      <w:r w:rsidR="00DC01EC">
        <w:rPr>
          <w:rStyle w:val="platne1"/>
          <w:szCs w:val="24"/>
        </w:rPr>
        <w:t>3</w:t>
      </w:r>
      <w:r w:rsidRPr="00C26B1C">
        <w:rPr>
          <w:rStyle w:val="platne1"/>
          <w:szCs w:val="24"/>
        </w:rPr>
        <w:t>).</w:t>
      </w:r>
      <w:r>
        <w:rPr>
          <w:rStyle w:val="platne1"/>
          <w:szCs w:val="24"/>
        </w:rPr>
        <w:t xml:space="preserve"> TÚ upozorňuje na skutečnost, že v lokalitě budované společností HOCHTIEF CZ a.s. jsou již realizována napojení na vodovodní řady a kanalizační stoky. Zároveň existuje předpoklad, že veškerá tato napojení nebudou využita pro plánovanou zástavbu. TÚ souhlasí s převzetím vodovodu a kanalizace za podmínky, že tato nevyužitá napojení budou bez zbytečného odkladu fyzicky odpojena od vodovodních řadů a kanalizačních stok </w:t>
      </w:r>
      <w:r>
        <w:t>(u vodovodních přípojek demontáž navrtávacího pasu s uzávěrem a zaslepení odbočení, u kanalizačních přípojek zaslepení u  kanalizační stoky a vyplnění inertním materiálem). Pro případ porušení této povinnosti, bude ve smlouvě stanovena smluvní pokuta.</w:t>
      </w:r>
    </w:p>
    <w:p w:rsidR="005E59B0" w:rsidRDefault="00E705A1" w:rsidP="005E59B0">
      <w:pPr>
        <w:jc w:val="both"/>
      </w:pPr>
      <w:r>
        <w:t xml:space="preserve">Po doručení stanoviska TÚ bylo zjištěno, že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1981/173, ve kterém je umístěna trasa veřejného osvětlení, byl prodán městem Plzní fyzickým osobám. TÚ dle požadavku SVSMP upřednostň</w:t>
      </w:r>
      <w:r w:rsidR="009B0C4F">
        <w:t>ovala</w:t>
      </w:r>
      <w:r>
        <w:t xml:space="preserve"> přeložení trasy veřejného osvětlení do městského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> 1981/224</w:t>
      </w:r>
      <w:r w:rsidR="00DC01EC">
        <w:t xml:space="preserve"> (viz příloha č. 3</w:t>
      </w:r>
      <w:r w:rsidR="00A0719A">
        <w:t>)</w:t>
      </w:r>
      <w:r w:rsidR="005E59B0">
        <w:t xml:space="preserve">. Žadatel byl o této skutečnosti informován a přeložení trasy veřejného osvětlení již dle podmínek SVSMP realizoval. </w:t>
      </w:r>
    </w:p>
    <w:p w:rsidR="00E705A1" w:rsidRDefault="00E705A1" w:rsidP="00E705A1">
      <w:pPr>
        <w:jc w:val="both"/>
      </w:pPr>
      <w:r>
        <w:t xml:space="preserve">KNM doporučila RMP souhlasit s navrhovanými smluvními vztahy (viz příloha č. </w:t>
      </w:r>
      <w:r w:rsidR="00253805">
        <w:t>7</w:t>
      </w:r>
      <w:r>
        <w:t>).</w:t>
      </w:r>
    </w:p>
    <w:p w:rsidR="003F13BB" w:rsidRDefault="003F13BB" w:rsidP="00E705A1">
      <w:pPr>
        <w:jc w:val="both"/>
      </w:pPr>
      <w:r>
        <w:t>RMP souhlasila s navrhovanými smluvními vztahy (viz příloha č. 8).</w:t>
      </w:r>
    </w:p>
    <w:p w:rsidR="00E705A1" w:rsidRPr="005E59B0" w:rsidRDefault="00E705A1" w:rsidP="00E705A1">
      <w:pPr>
        <w:jc w:val="both"/>
        <w:rPr>
          <w:sz w:val="12"/>
          <w:szCs w:val="12"/>
        </w:rPr>
      </w:pPr>
    </w:p>
    <w:p w:rsidR="00E705A1" w:rsidRDefault="00E705A1" w:rsidP="00E705A1">
      <w:pPr>
        <w:pStyle w:val="ostzahl"/>
        <w:numPr>
          <w:ilvl w:val="0"/>
          <w:numId w:val="3"/>
        </w:numPr>
        <w:tabs>
          <w:tab w:val="clear" w:pos="720"/>
        </w:tabs>
        <w:ind w:left="360"/>
      </w:pPr>
      <w:r>
        <w:lastRenderedPageBreak/>
        <w:t>Předpokládaný cílový stav</w:t>
      </w:r>
    </w:p>
    <w:p w:rsidR="00E705A1" w:rsidRDefault="00E705A1" w:rsidP="00E705A1">
      <w:pPr>
        <w:pStyle w:val="vlevo"/>
        <w:rPr>
          <w:color w:val="000000"/>
        </w:rPr>
      </w:pPr>
      <w:r>
        <w:t xml:space="preserve">Uzavření kupní smlouvy na TDI a dodatku č. 1 ke kupní smlouvě č. 2010/002514 se společnostmi </w:t>
      </w:r>
      <w:r>
        <w:rPr>
          <w:color w:val="000000"/>
        </w:rPr>
        <w:t>HOCHTIEF CZ a.s. a HEGEMON KL spol. s r.o</w:t>
      </w:r>
      <w:r w:rsidRPr="008708F8">
        <w:rPr>
          <w:color w:val="000000"/>
        </w:rPr>
        <w:t>.</w:t>
      </w:r>
    </w:p>
    <w:p w:rsidR="00E705A1" w:rsidRDefault="00E705A1" w:rsidP="00E705A1">
      <w:pPr>
        <w:pStyle w:val="ostzahl"/>
        <w:numPr>
          <w:ilvl w:val="0"/>
          <w:numId w:val="3"/>
        </w:numPr>
        <w:tabs>
          <w:tab w:val="clear" w:pos="720"/>
          <w:tab w:val="num" w:pos="360"/>
        </w:tabs>
        <w:ind w:left="357" w:hanging="357"/>
      </w:pPr>
      <w:r>
        <w:t>Navrhované varianty řešení</w:t>
      </w:r>
    </w:p>
    <w:p w:rsidR="00E705A1" w:rsidRDefault="00E705A1" w:rsidP="00E705A1">
      <w:pPr>
        <w:pStyle w:val="vlevo"/>
      </w:pPr>
      <w:r>
        <w:t>Viz návrh usnesení.</w:t>
      </w:r>
    </w:p>
    <w:p w:rsidR="00E705A1" w:rsidRPr="005E59B0" w:rsidRDefault="00E705A1" w:rsidP="00E705A1">
      <w:pPr>
        <w:pStyle w:val="vlevo"/>
        <w:rPr>
          <w:sz w:val="12"/>
          <w:szCs w:val="12"/>
        </w:rPr>
      </w:pPr>
    </w:p>
    <w:p w:rsidR="00E705A1" w:rsidRDefault="00E705A1" w:rsidP="00E705A1">
      <w:pPr>
        <w:pStyle w:val="ostzahl"/>
        <w:numPr>
          <w:ilvl w:val="0"/>
          <w:numId w:val="3"/>
        </w:numPr>
        <w:tabs>
          <w:tab w:val="clear" w:pos="720"/>
          <w:tab w:val="num" w:pos="360"/>
        </w:tabs>
        <w:ind w:left="357" w:hanging="357"/>
      </w:pPr>
      <w:r>
        <w:t>Doporučená varianta řešení</w:t>
      </w:r>
    </w:p>
    <w:p w:rsidR="00E705A1" w:rsidRDefault="00E705A1" w:rsidP="00E705A1">
      <w:pPr>
        <w:ind w:right="-335"/>
        <w:jc w:val="both"/>
      </w:pPr>
      <w:r>
        <w:t>Viz návrh usnesení</w:t>
      </w:r>
      <w:r w:rsidR="00A61FCA">
        <w:t>.</w:t>
      </w:r>
    </w:p>
    <w:p w:rsidR="00E705A1" w:rsidRPr="005E59B0" w:rsidRDefault="00E705A1" w:rsidP="00E705A1">
      <w:pPr>
        <w:ind w:right="-335"/>
        <w:jc w:val="both"/>
        <w:rPr>
          <w:sz w:val="12"/>
          <w:szCs w:val="12"/>
        </w:rPr>
      </w:pPr>
    </w:p>
    <w:p w:rsidR="00E705A1" w:rsidRDefault="00E705A1" w:rsidP="00E705A1">
      <w:pPr>
        <w:pStyle w:val="ostzahl"/>
        <w:numPr>
          <w:ilvl w:val="0"/>
          <w:numId w:val="3"/>
        </w:numPr>
        <w:tabs>
          <w:tab w:val="clear" w:pos="720"/>
        </w:tabs>
        <w:ind w:left="357" w:hanging="357"/>
      </w:pPr>
      <w:r>
        <w:t>Finanční nároky řešení a možnosti finančního krytí</w:t>
      </w:r>
    </w:p>
    <w:p w:rsidR="00E705A1" w:rsidRDefault="00E705A1" w:rsidP="00E705A1">
      <w:pPr>
        <w:pStyle w:val="vlevo"/>
      </w:pPr>
      <w:r>
        <w:t xml:space="preserve">Cena za TDI v celkové </w:t>
      </w:r>
      <w:r w:rsidRPr="00643F7F">
        <w:t xml:space="preserve">výši 257 638 Kč </w:t>
      </w:r>
      <w:proofErr w:type="gramStart"/>
      <w:r w:rsidRPr="00643F7F">
        <w:t>bude</w:t>
      </w:r>
      <w:proofErr w:type="gramEnd"/>
      <w:r w:rsidRPr="00643F7F">
        <w:t xml:space="preserve"> uhrazena</w:t>
      </w:r>
      <w:r w:rsidRPr="00251EDC">
        <w:t xml:space="preserve"> z rozpočtu </w:t>
      </w:r>
      <w:proofErr w:type="gramStart"/>
      <w:r w:rsidRPr="00251EDC">
        <w:t>MAJ</w:t>
      </w:r>
      <w:proofErr w:type="gramEnd"/>
      <w:r w:rsidRPr="00251EDC">
        <w:t xml:space="preserve"> MMP.</w:t>
      </w:r>
    </w:p>
    <w:p w:rsidR="00E705A1" w:rsidRPr="005E59B0" w:rsidRDefault="00E705A1" w:rsidP="00E705A1">
      <w:pPr>
        <w:pStyle w:val="vlevo"/>
        <w:rPr>
          <w:sz w:val="12"/>
          <w:szCs w:val="12"/>
        </w:rPr>
      </w:pPr>
    </w:p>
    <w:p w:rsidR="00E705A1" w:rsidRDefault="00E705A1" w:rsidP="00E705A1">
      <w:pPr>
        <w:pStyle w:val="ostzahl"/>
        <w:numPr>
          <w:ilvl w:val="0"/>
          <w:numId w:val="3"/>
        </w:numPr>
        <w:ind w:left="357" w:hanging="357"/>
      </w:pPr>
      <w:r>
        <w:t>Návrh termínů realizace a určení zodpovědných pracovníků</w:t>
      </w:r>
    </w:p>
    <w:p w:rsidR="00E705A1" w:rsidRDefault="00E705A1" w:rsidP="00E705A1">
      <w:pPr>
        <w:pStyle w:val="vlevo"/>
      </w:pPr>
      <w:r>
        <w:t>Viz návrh usnesení.</w:t>
      </w:r>
    </w:p>
    <w:p w:rsidR="00145596" w:rsidRPr="005E59B0" w:rsidRDefault="00145596" w:rsidP="00E705A1">
      <w:pPr>
        <w:pStyle w:val="vlevo"/>
        <w:rPr>
          <w:sz w:val="12"/>
          <w:szCs w:val="12"/>
        </w:rPr>
      </w:pPr>
    </w:p>
    <w:p w:rsidR="00E705A1" w:rsidRDefault="00E705A1" w:rsidP="00E705A1">
      <w:pPr>
        <w:pStyle w:val="ostzahl"/>
        <w:numPr>
          <w:ilvl w:val="0"/>
          <w:numId w:val="3"/>
        </w:numPr>
        <w:tabs>
          <w:tab w:val="clear" w:pos="720"/>
        </w:tabs>
        <w:ind w:left="426" w:hanging="426"/>
      </w:pPr>
      <w:r>
        <w:t>Dříve přijatá usnesení orgánů města nebo městských obvodů, která s tímto návrhem souvisejí</w:t>
      </w:r>
    </w:p>
    <w:p w:rsidR="00DE3F8C" w:rsidRDefault="00E705A1" w:rsidP="00E705A1">
      <w:pPr>
        <w:pStyle w:val="vlevo"/>
      </w:pPr>
      <w:bookmarkStart w:id="0" w:name="_GoBack"/>
      <w:bookmarkEnd w:id="0"/>
      <w:r w:rsidRPr="007A20CD">
        <w:t xml:space="preserve">Usnesení ZMP č. </w:t>
      </w:r>
      <w:r>
        <w:t>175/2010</w:t>
      </w:r>
      <w:r w:rsidRPr="007A20CD">
        <w:t xml:space="preserve"> </w:t>
      </w:r>
      <w:r>
        <w:t>ve znění usnesení ZMP č. 231/2010</w:t>
      </w:r>
      <w:r w:rsidR="005C2C35">
        <w:t>,</w:t>
      </w:r>
    </w:p>
    <w:p w:rsidR="00E705A1" w:rsidRDefault="00DE3F8C" w:rsidP="00E705A1">
      <w:pPr>
        <w:pStyle w:val="vlevo"/>
      </w:pPr>
      <w:r w:rsidRPr="00584B7D">
        <w:t xml:space="preserve">usnesení RMP č. </w:t>
      </w:r>
      <w:r w:rsidR="00584B7D" w:rsidRPr="00584B7D">
        <w:t>1210</w:t>
      </w:r>
      <w:r w:rsidRPr="00584B7D">
        <w:t>/2015</w:t>
      </w:r>
      <w:r w:rsidR="00E705A1" w:rsidRPr="00584B7D">
        <w:t>.</w:t>
      </w:r>
    </w:p>
    <w:p w:rsidR="00E705A1" w:rsidRPr="005E59B0" w:rsidRDefault="00E705A1" w:rsidP="00E705A1">
      <w:pPr>
        <w:pStyle w:val="vlevo"/>
        <w:rPr>
          <w:sz w:val="12"/>
          <w:szCs w:val="12"/>
        </w:rPr>
      </w:pPr>
    </w:p>
    <w:p w:rsidR="00E705A1" w:rsidRDefault="00E705A1" w:rsidP="00E705A1">
      <w:pPr>
        <w:pStyle w:val="ostzahl"/>
        <w:numPr>
          <w:ilvl w:val="0"/>
          <w:numId w:val="3"/>
        </w:numPr>
        <w:ind w:left="357" w:hanging="357"/>
      </w:pPr>
      <w:r>
        <w:t>Závazky či pohledávky vůči městu Plzni</w:t>
      </w:r>
    </w:p>
    <w:p w:rsidR="00E705A1" w:rsidRDefault="005C2C35" w:rsidP="00E705A1">
      <w:pPr>
        <w:pStyle w:val="vlevo"/>
      </w:pPr>
      <w:r>
        <w:t>Tato informace bude k dispozici u předkladatele materiálu</w:t>
      </w:r>
      <w:r w:rsidR="00E705A1">
        <w:t>.</w:t>
      </w:r>
    </w:p>
    <w:p w:rsidR="00E705A1" w:rsidRPr="005E59B0" w:rsidRDefault="00E705A1" w:rsidP="00E705A1">
      <w:pPr>
        <w:pStyle w:val="vlevo"/>
        <w:rPr>
          <w:sz w:val="12"/>
          <w:szCs w:val="12"/>
        </w:rPr>
      </w:pPr>
    </w:p>
    <w:p w:rsidR="00E705A1" w:rsidRDefault="00E705A1" w:rsidP="00E705A1">
      <w:pPr>
        <w:pStyle w:val="ostzahl"/>
        <w:numPr>
          <w:ilvl w:val="0"/>
          <w:numId w:val="3"/>
        </w:numPr>
        <w:ind w:left="357" w:hanging="357"/>
      </w:pPr>
      <w:r>
        <w:t>Přílohy</w:t>
      </w:r>
    </w:p>
    <w:p w:rsidR="00E705A1" w:rsidRDefault="00E705A1" w:rsidP="00E705A1">
      <w:pPr>
        <w:pStyle w:val="vlevo"/>
      </w:pPr>
      <w:r w:rsidRPr="00350FDC">
        <w:t>Příloha č. 1 –</w:t>
      </w:r>
      <w:r>
        <w:tab/>
      </w:r>
      <w:r w:rsidR="00D977D9">
        <w:t>změny jednotlivých článků smlouvy o smlouvě budoucí kupní č. 2010/002514.</w:t>
      </w:r>
    </w:p>
    <w:p w:rsidR="00E705A1" w:rsidRDefault="00E705A1" w:rsidP="00E705A1">
      <w:pPr>
        <w:pStyle w:val="vlevo"/>
      </w:pPr>
      <w:r>
        <w:t>Příloha č. 2 –</w:t>
      </w:r>
      <w:r>
        <w:tab/>
      </w:r>
      <w:r w:rsidR="00D977D9" w:rsidRPr="00350FDC">
        <w:t>žádost</w:t>
      </w:r>
      <w:r w:rsidR="00D977D9">
        <w:t>i</w:t>
      </w:r>
      <w:r w:rsidR="00D977D9" w:rsidRPr="00350FDC">
        <w:t xml:space="preserve"> vč. vyčíslení nákladů na TDI.</w:t>
      </w:r>
    </w:p>
    <w:p w:rsidR="00E705A1" w:rsidRPr="00EA6C81" w:rsidRDefault="00E705A1" w:rsidP="00E705A1">
      <w:pPr>
        <w:pStyle w:val="vlevo"/>
      </w:pPr>
      <w:r w:rsidRPr="00EA6C81">
        <w:t>Příloha č. 3 –</w:t>
      </w:r>
      <w:r>
        <w:tab/>
      </w:r>
      <w:r w:rsidR="00D977D9">
        <w:t>stanovisko TÚ vč. zákresů TDI.</w:t>
      </w:r>
    </w:p>
    <w:p w:rsidR="00E705A1" w:rsidRPr="007A20CD" w:rsidRDefault="00E705A1" w:rsidP="00E705A1">
      <w:pPr>
        <w:pStyle w:val="vlevo"/>
      </w:pPr>
      <w:r w:rsidRPr="007A20CD">
        <w:t>Příloha č. 4 –</w:t>
      </w:r>
      <w:r>
        <w:tab/>
      </w:r>
      <w:r w:rsidR="00D977D9" w:rsidRPr="007A20CD">
        <w:t xml:space="preserve">usnesení ZMP č. </w:t>
      </w:r>
      <w:r w:rsidR="00D977D9">
        <w:t>175/2010</w:t>
      </w:r>
      <w:r w:rsidR="00D977D9" w:rsidRPr="007A20CD">
        <w:t xml:space="preserve"> </w:t>
      </w:r>
      <w:r w:rsidR="00D977D9">
        <w:t>ve znění usnesení ZMP č. 231/2010</w:t>
      </w:r>
      <w:r w:rsidR="00D977D9" w:rsidRPr="007A20CD">
        <w:t>.</w:t>
      </w:r>
    </w:p>
    <w:p w:rsidR="00E705A1" w:rsidRDefault="00E705A1" w:rsidP="00E705A1">
      <w:pPr>
        <w:pStyle w:val="vlevo"/>
      </w:pPr>
      <w:r>
        <w:t>Příloha č. 5 –</w:t>
      </w:r>
      <w:r>
        <w:tab/>
      </w:r>
      <w:r w:rsidR="00D977D9" w:rsidRPr="00EA6C81">
        <w:t>fotodokumentace.</w:t>
      </w:r>
    </w:p>
    <w:p w:rsidR="00E705A1" w:rsidRDefault="00E705A1" w:rsidP="00E705A1">
      <w:pPr>
        <w:pStyle w:val="vlevo"/>
      </w:pPr>
      <w:r>
        <w:t>Příloha č. 6 –</w:t>
      </w:r>
      <w:r>
        <w:tab/>
      </w:r>
      <w:r w:rsidR="00D977D9">
        <w:t>modrá mapa, územní plán,</w:t>
      </w:r>
      <w:r w:rsidR="00D977D9" w:rsidRPr="006E48C3">
        <w:t xml:space="preserve"> </w:t>
      </w:r>
      <w:r w:rsidR="00D977D9">
        <w:t>letecký snímek,</w:t>
      </w:r>
      <w:r w:rsidR="00D977D9" w:rsidRPr="006E48C3">
        <w:t xml:space="preserve"> </w:t>
      </w:r>
      <w:r w:rsidR="00D977D9">
        <w:t>plán města.</w:t>
      </w:r>
    </w:p>
    <w:p w:rsidR="00DE3F8C" w:rsidRDefault="00D977D9" w:rsidP="00E705A1">
      <w:pPr>
        <w:pStyle w:val="vlevo"/>
      </w:pPr>
      <w:r>
        <w:t>Příloha č. 7 –</w:t>
      </w:r>
      <w:r>
        <w:tab/>
        <w:t>doporučení KNM</w:t>
      </w:r>
      <w:r w:rsidR="00DE3F8C">
        <w:t>.</w:t>
      </w:r>
    </w:p>
    <w:p w:rsidR="00D977D9" w:rsidRDefault="00DE3F8C" w:rsidP="00E705A1">
      <w:pPr>
        <w:pStyle w:val="vlevo"/>
      </w:pPr>
      <w:r w:rsidRPr="00584B7D">
        <w:t>Příloha č. 8 –</w:t>
      </w:r>
      <w:r w:rsidRPr="00584B7D">
        <w:tab/>
        <w:t xml:space="preserve">usnesení RMP č. </w:t>
      </w:r>
      <w:r w:rsidR="00584B7D" w:rsidRPr="00584B7D">
        <w:t>1210</w:t>
      </w:r>
      <w:r w:rsidRPr="00584B7D">
        <w:t>/2015</w:t>
      </w:r>
      <w:r w:rsidR="00D977D9" w:rsidRPr="00584B7D">
        <w:t>.</w:t>
      </w:r>
    </w:p>
    <w:p w:rsidR="00E705A1" w:rsidRDefault="00E705A1" w:rsidP="00E705A1">
      <w:pPr>
        <w:rPr>
          <w:sz w:val="18"/>
          <w:szCs w:val="18"/>
        </w:rPr>
      </w:pPr>
    </w:p>
    <w:p w:rsidR="005E59B0" w:rsidRDefault="005E59B0" w:rsidP="00E705A1">
      <w:pPr>
        <w:rPr>
          <w:sz w:val="18"/>
          <w:szCs w:val="18"/>
        </w:rPr>
      </w:pPr>
    </w:p>
    <w:p w:rsidR="005E59B0" w:rsidRPr="008A5887" w:rsidRDefault="005E59B0" w:rsidP="00E705A1">
      <w:pPr>
        <w:rPr>
          <w:sz w:val="18"/>
          <w:szCs w:val="18"/>
        </w:rPr>
      </w:pPr>
    </w:p>
    <w:p w:rsidR="004B48DF" w:rsidRDefault="00E705A1" w:rsidP="00E705A1">
      <w:pPr>
        <w:jc w:val="both"/>
      </w:pPr>
      <w:r>
        <w:t>Přílohy k dispozici u předkladatele: výpisy z katastru nemovitostí, smlouva o smlouvě budoucí kupní</w:t>
      </w:r>
      <w:r w:rsidR="005C2C35">
        <w:t>, závazky žadatelů</w:t>
      </w:r>
      <w:r>
        <w:t>.</w:t>
      </w:r>
    </w:p>
    <w:sectPr w:rsidR="004B48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C3" w:rsidRDefault="00A61FCA">
      <w:r>
        <w:separator/>
      </w:r>
    </w:p>
  </w:endnote>
  <w:endnote w:type="continuationSeparator" w:id="0">
    <w:p w:rsidR="00DD33C3" w:rsidRDefault="00A6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47423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F121D" w:rsidRPr="00D977D9" w:rsidRDefault="00145596">
        <w:pPr>
          <w:pStyle w:val="Zpat"/>
          <w:jc w:val="center"/>
          <w:rPr>
            <w:sz w:val="20"/>
          </w:rPr>
        </w:pPr>
        <w:r w:rsidRPr="00D977D9">
          <w:rPr>
            <w:sz w:val="20"/>
          </w:rPr>
          <w:fldChar w:fldCharType="begin"/>
        </w:r>
        <w:r w:rsidRPr="00D977D9">
          <w:rPr>
            <w:sz w:val="20"/>
          </w:rPr>
          <w:instrText>PAGE   \* MERGEFORMAT</w:instrText>
        </w:r>
        <w:r w:rsidRPr="00D977D9">
          <w:rPr>
            <w:sz w:val="20"/>
          </w:rPr>
          <w:fldChar w:fldCharType="separate"/>
        </w:r>
        <w:r w:rsidR="005C2C35">
          <w:rPr>
            <w:noProof/>
            <w:sz w:val="20"/>
          </w:rPr>
          <w:t>1</w:t>
        </w:r>
        <w:r w:rsidRPr="00D977D9">
          <w:rPr>
            <w:sz w:val="20"/>
          </w:rPr>
          <w:fldChar w:fldCharType="end"/>
        </w:r>
      </w:p>
    </w:sdtContent>
  </w:sdt>
  <w:p w:rsidR="00EF121D" w:rsidRDefault="005C2C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C3" w:rsidRDefault="00A61FCA">
      <w:r>
        <w:separator/>
      </w:r>
    </w:p>
  </w:footnote>
  <w:footnote w:type="continuationSeparator" w:id="0">
    <w:p w:rsidR="00DD33C3" w:rsidRDefault="00A61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AEA"/>
    <w:multiLevelType w:val="hybridMultilevel"/>
    <w:tmpl w:val="9788B88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EF5C7D"/>
    <w:multiLevelType w:val="singleLevel"/>
    <w:tmpl w:val="6CC435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CAA48E9"/>
    <w:multiLevelType w:val="hybridMultilevel"/>
    <w:tmpl w:val="795A0B14"/>
    <w:lvl w:ilvl="0" w:tplc="321251B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1697A8F"/>
    <w:multiLevelType w:val="hybridMultilevel"/>
    <w:tmpl w:val="62E098AE"/>
    <w:lvl w:ilvl="0" w:tplc="0405000F">
      <w:start w:val="1"/>
      <w:numFmt w:val="decimal"/>
      <w:pStyle w:val="ostzah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C0DE4"/>
    <w:multiLevelType w:val="hybridMultilevel"/>
    <w:tmpl w:val="1990FC0C"/>
    <w:lvl w:ilvl="0" w:tplc="F6F49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E53FB1"/>
    <w:multiLevelType w:val="hybridMultilevel"/>
    <w:tmpl w:val="89F05332"/>
    <w:lvl w:ilvl="0" w:tplc="5B74FF6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434992"/>
    <w:multiLevelType w:val="hybridMultilevel"/>
    <w:tmpl w:val="084CC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A1"/>
    <w:rsid w:val="00055C88"/>
    <w:rsid w:val="00145596"/>
    <w:rsid w:val="00253805"/>
    <w:rsid w:val="003F13BB"/>
    <w:rsid w:val="00575F69"/>
    <w:rsid w:val="00584B7D"/>
    <w:rsid w:val="005C2C35"/>
    <w:rsid w:val="005E59B0"/>
    <w:rsid w:val="007D1D6F"/>
    <w:rsid w:val="008A5887"/>
    <w:rsid w:val="009B0C4F"/>
    <w:rsid w:val="00A0719A"/>
    <w:rsid w:val="00A61FCA"/>
    <w:rsid w:val="00C77860"/>
    <w:rsid w:val="00D816D8"/>
    <w:rsid w:val="00D977D9"/>
    <w:rsid w:val="00DC01EC"/>
    <w:rsid w:val="00DD33C3"/>
    <w:rsid w:val="00DE3F8C"/>
    <w:rsid w:val="00E33ABE"/>
    <w:rsid w:val="00E7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5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0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705A1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70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E705A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E705A1"/>
    <w:pPr>
      <w:jc w:val="both"/>
    </w:pPr>
  </w:style>
  <w:style w:type="paragraph" w:customStyle="1" w:styleId="ostzahl">
    <w:name w:val="ostzahl"/>
    <w:basedOn w:val="Normln"/>
    <w:next w:val="vlevo"/>
    <w:autoRedefine/>
    <w:rsid w:val="00E705A1"/>
    <w:pPr>
      <w:numPr>
        <w:numId w:val="1"/>
      </w:numPr>
      <w:spacing w:before="120" w:after="120"/>
      <w:jc w:val="both"/>
    </w:pPr>
    <w:rPr>
      <w:b/>
      <w:spacing w:val="22"/>
    </w:rPr>
  </w:style>
  <w:style w:type="character" w:customStyle="1" w:styleId="platne1">
    <w:name w:val="platne1"/>
    <w:basedOn w:val="Standardnpsmoodstavce"/>
    <w:rsid w:val="00E705A1"/>
  </w:style>
  <w:style w:type="paragraph" w:styleId="Odstavecseseznamem">
    <w:name w:val="List Paragraph"/>
    <w:basedOn w:val="Normln"/>
    <w:uiPriority w:val="34"/>
    <w:qFormat/>
    <w:rsid w:val="00E705A1"/>
    <w:pPr>
      <w:ind w:left="720"/>
      <w:contextualSpacing/>
    </w:pPr>
  </w:style>
  <w:style w:type="paragraph" w:customStyle="1" w:styleId="Zkladntext21">
    <w:name w:val="Základní text 21"/>
    <w:basedOn w:val="Normln"/>
    <w:rsid w:val="00E705A1"/>
    <w:pPr>
      <w:overflowPunct w:val="0"/>
      <w:autoSpaceDE w:val="0"/>
      <w:autoSpaceDN w:val="0"/>
      <w:adjustRightInd w:val="0"/>
      <w:textAlignment w:val="baseline"/>
    </w:pPr>
  </w:style>
  <w:style w:type="paragraph" w:styleId="Zkladntext2">
    <w:name w:val="Body Text 2"/>
    <w:basedOn w:val="Normln"/>
    <w:link w:val="Zkladntext2Char"/>
    <w:rsid w:val="00E705A1"/>
    <w:pPr>
      <w:jc w:val="both"/>
    </w:pPr>
    <w:rPr>
      <w:b/>
      <w:bCs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E705A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vlevoChar">
    <w:name w:val="vlevo Char"/>
    <w:link w:val="vlevo"/>
    <w:locked/>
    <w:rsid w:val="00E705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705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05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05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05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88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5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0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705A1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70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E705A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E705A1"/>
    <w:pPr>
      <w:jc w:val="both"/>
    </w:pPr>
  </w:style>
  <w:style w:type="paragraph" w:customStyle="1" w:styleId="ostzahl">
    <w:name w:val="ostzahl"/>
    <w:basedOn w:val="Normln"/>
    <w:next w:val="vlevo"/>
    <w:autoRedefine/>
    <w:rsid w:val="00E705A1"/>
    <w:pPr>
      <w:numPr>
        <w:numId w:val="1"/>
      </w:numPr>
      <w:spacing w:before="120" w:after="120"/>
      <w:jc w:val="both"/>
    </w:pPr>
    <w:rPr>
      <w:b/>
      <w:spacing w:val="22"/>
    </w:rPr>
  </w:style>
  <w:style w:type="character" w:customStyle="1" w:styleId="platne1">
    <w:name w:val="platne1"/>
    <w:basedOn w:val="Standardnpsmoodstavce"/>
    <w:rsid w:val="00E705A1"/>
  </w:style>
  <w:style w:type="paragraph" w:styleId="Odstavecseseznamem">
    <w:name w:val="List Paragraph"/>
    <w:basedOn w:val="Normln"/>
    <w:uiPriority w:val="34"/>
    <w:qFormat/>
    <w:rsid w:val="00E705A1"/>
    <w:pPr>
      <w:ind w:left="720"/>
      <w:contextualSpacing/>
    </w:pPr>
  </w:style>
  <w:style w:type="paragraph" w:customStyle="1" w:styleId="Zkladntext21">
    <w:name w:val="Základní text 21"/>
    <w:basedOn w:val="Normln"/>
    <w:rsid w:val="00E705A1"/>
    <w:pPr>
      <w:overflowPunct w:val="0"/>
      <w:autoSpaceDE w:val="0"/>
      <w:autoSpaceDN w:val="0"/>
      <w:adjustRightInd w:val="0"/>
      <w:textAlignment w:val="baseline"/>
    </w:pPr>
  </w:style>
  <w:style w:type="paragraph" w:styleId="Zkladntext2">
    <w:name w:val="Body Text 2"/>
    <w:basedOn w:val="Normln"/>
    <w:link w:val="Zkladntext2Char"/>
    <w:rsid w:val="00E705A1"/>
    <w:pPr>
      <w:jc w:val="both"/>
    </w:pPr>
    <w:rPr>
      <w:b/>
      <w:bCs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E705A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vlevoChar">
    <w:name w:val="vlevo Char"/>
    <w:link w:val="vlevo"/>
    <w:locked/>
    <w:rsid w:val="00E705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705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05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05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05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88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694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Kotáb Richard</dc:creator>
  <cp:lastModifiedBy>Kotáb Richard</cp:lastModifiedBy>
  <cp:revision>17</cp:revision>
  <cp:lastPrinted>2015-10-02T12:02:00Z</cp:lastPrinted>
  <dcterms:created xsi:type="dcterms:W3CDTF">2015-08-31T12:18:00Z</dcterms:created>
  <dcterms:modified xsi:type="dcterms:W3CDTF">2015-11-26T06:07:00Z</dcterms:modified>
</cp:coreProperties>
</file>