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1" w:rsidRPr="00403DA6" w:rsidRDefault="00403DA6" w:rsidP="00403D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3DA6">
        <w:rPr>
          <w:rFonts w:ascii="Times New Roman" w:hAnsi="Times New Roman" w:cs="Times New Roman"/>
          <w:sz w:val="24"/>
          <w:szCs w:val="24"/>
        </w:rPr>
        <w:t>Doporučení Komise RMP pro nakládání s majetkem ze dne 24. 11. 2015</w:t>
      </w:r>
    </w:p>
    <w:p w:rsidR="00403DA6" w:rsidRDefault="00403DA6"/>
    <w:p w:rsidR="00403DA6" w:rsidRDefault="00403DA6"/>
    <w:p w:rsidR="00403DA6" w:rsidRDefault="00403DA6" w:rsidP="00403DA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u w:val="single"/>
        </w:rPr>
      </w:pPr>
      <w:r>
        <w:rPr>
          <w:u w:val="single"/>
        </w:rPr>
        <w:t xml:space="preserve">EVID/4 </w:t>
      </w:r>
      <w:r>
        <w:rPr>
          <w:u w:val="single"/>
        </w:rPr>
        <w:tab/>
        <w:t>Darování movitých věcí, které již nemají v prostředí města Plzně další uplatnění, Západočeskému muzeu v Plzni, p. o.</w:t>
      </w:r>
    </w:p>
    <w:p w:rsidR="00403DA6" w:rsidRDefault="00403DA6" w:rsidP="00403DA6">
      <w:pPr>
        <w:tabs>
          <w:tab w:val="left" w:pos="720"/>
          <w:tab w:val="left" w:pos="3960"/>
        </w:tabs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szCs w:val="24"/>
          <w:lang w:eastAsia="zh-CN"/>
        </w:rPr>
        <w:t>KNM RMP doporučuje RMP :</w:t>
      </w:r>
    </w:p>
    <w:p w:rsidR="00403DA6" w:rsidRDefault="00403DA6" w:rsidP="00403DA6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Schválit udělení výjimky ze směrnice QS 63-04 Nakládání s movitým majetkem města, ve které je uložena povinnost nabídnout veškerý nadbytečný majetek všem správcům městského majetku.</w:t>
      </w:r>
    </w:p>
    <w:p w:rsidR="00403DA6" w:rsidRDefault="00403DA6" w:rsidP="00403DA6">
      <w:pPr>
        <w:numPr>
          <w:ilvl w:val="0"/>
          <w:numId w:val="1"/>
        </w:numPr>
        <w:tabs>
          <w:tab w:val="left" w:pos="720"/>
          <w:tab w:val="left" w:pos="3960"/>
        </w:tabs>
        <w:suppressAutoHyphens/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Souhlasit s darováním movitých věcí:</w:t>
      </w:r>
    </w:p>
    <w:p w:rsidR="00403DA6" w:rsidRDefault="00403DA6" w:rsidP="00403DA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paraván s dřevěnou kostrou a textilním malovaným potahem, zdobený fotografiemi (zřejmě herců někdejšího Německého divadla v Plzni), značně poškozený a nekompletní – před restaurováním</w:t>
      </w:r>
    </w:p>
    <w:p w:rsidR="00403DA6" w:rsidRDefault="00403DA6" w:rsidP="00403DA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pergamenový svitek Tóry na dvou návinových tyčích, značně poškozený, nekompletní – před restaurováním </w:t>
      </w:r>
    </w:p>
    <w:p w:rsidR="00403DA6" w:rsidRDefault="00403DA6" w:rsidP="00403DA6">
      <w:pPr>
        <w:suppressAutoHyphens/>
        <w:ind w:left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Západočeskému muzeu v Plzni, příspěvkové organizaci, IČ 00228745, se sídlem Kopeckého sady 2, Plzeň.</w:t>
      </w:r>
    </w:p>
    <w:p w:rsidR="00403DA6" w:rsidRDefault="00403DA6" w:rsidP="00403DA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u w:val="single"/>
        </w:rPr>
      </w:pPr>
    </w:p>
    <w:p w:rsidR="00403DA6" w:rsidRDefault="00403DA6" w:rsidP="00403DA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  <w:r>
        <w:t>souhlasí 11</w:t>
      </w:r>
    </w:p>
    <w:p w:rsidR="00403DA6" w:rsidRDefault="00403DA6"/>
    <w:sectPr w:rsidR="0040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221"/>
    <w:multiLevelType w:val="hybridMultilevel"/>
    <w:tmpl w:val="D1F42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D4590"/>
    <w:multiLevelType w:val="hybridMultilevel"/>
    <w:tmpl w:val="7116DAD8"/>
    <w:lvl w:ilvl="0" w:tplc="AD0C3F58">
      <w:start w:val="2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A6"/>
    <w:rsid w:val="003C2AD1"/>
    <w:rsid w:val="00403DA6"/>
    <w:rsid w:val="007673C0"/>
    <w:rsid w:val="00F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Jirková Michaela</cp:lastModifiedBy>
  <cp:revision>2</cp:revision>
  <cp:lastPrinted>2015-12-03T08:37:00Z</cp:lastPrinted>
  <dcterms:created xsi:type="dcterms:W3CDTF">2016-01-18T07:18:00Z</dcterms:created>
  <dcterms:modified xsi:type="dcterms:W3CDTF">2016-01-18T07:18:00Z</dcterms:modified>
</cp:coreProperties>
</file>