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79" w:rsidRPr="00E94879" w:rsidRDefault="00E94879" w:rsidP="00392009">
      <w:pPr>
        <w:pStyle w:val="Nadpis2"/>
        <w:tabs>
          <w:tab w:val="clear" w:pos="7088"/>
          <w:tab w:val="left" w:pos="3969"/>
          <w:tab w:val="right" w:pos="10065"/>
          <w:tab w:val="center" w:pos="11340"/>
        </w:tabs>
        <w:rPr>
          <w:b/>
          <w:szCs w:val="24"/>
        </w:rPr>
      </w:pPr>
      <w:r w:rsidRPr="00E94879">
        <w:rPr>
          <w:b/>
          <w:szCs w:val="24"/>
        </w:rPr>
        <w:t xml:space="preserve">Zastupitelstvo města Plzně dne: </w:t>
      </w:r>
      <w:r w:rsidRPr="00E94879">
        <w:rPr>
          <w:b/>
          <w:szCs w:val="24"/>
        </w:rPr>
        <w:tab/>
        <w:t>16. 3. 2017</w:t>
      </w:r>
      <w:r w:rsidRPr="00E94879">
        <w:rPr>
          <w:b/>
          <w:szCs w:val="24"/>
        </w:rPr>
        <w:tab/>
        <w:t>EVID/</w:t>
      </w:r>
      <w:r w:rsidR="006D1795">
        <w:rPr>
          <w:b/>
          <w:szCs w:val="24"/>
        </w:rPr>
        <w:t>2</w:t>
      </w:r>
    </w:p>
    <w:p w:rsidR="00E94879" w:rsidRDefault="00E94879" w:rsidP="00E94879">
      <w:pPr>
        <w:rPr>
          <w:b/>
        </w:rPr>
      </w:pPr>
    </w:p>
    <w:p w:rsidR="00E828B4" w:rsidRPr="00F9668B" w:rsidRDefault="00E828B4" w:rsidP="00472A9A">
      <w:pPr>
        <w:pStyle w:val="Nadpis2"/>
        <w:tabs>
          <w:tab w:val="clear" w:pos="7088"/>
          <w:tab w:val="right" w:pos="10348"/>
          <w:tab w:val="center" w:pos="11340"/>
        </w:tabs>
        <w:rPr>
          <w:b/>
          <w:sz w:val="28"/>
        </w:rPr>
      </w:pPr>
    </w:p>
    <w:p w:rsidR="00E828B4" w:rsidRDefault="00E828B4">
      <w:pPr>
        <w:rPr>
          <w:b/>
        </w:rPr>
      </w:pPr>
    </w:p>
    <w:p w:rsidR="00E828B4" w:rsidRDefault="00E828B4">
      <w:pPr>
        <w:pStyle w:val="Nadpis2"/>
        <w:rPr>
          <w:b/>
        </w:rPr>
      </w:pPr>
    </w:p>
    <w:p w:rsidR="00E828B4" w:rsidRDefault="00E828B4">
      <w:pPr>
        <w:rPr>
          <w:b/>
          <w:sz w:val="28"/>
        </w:rPr>
      </w:pPr>
    </w:p>
    <w:p w:rsidR="00E828B4" w:rsidRDefault="00E828B4">
      <w:pPr>
        <w:pStyle w:val="Nadpis1"/>
        <w:jc w:val="center"/>
        <w:rPr>
          <w:rFonts w:ascii="Times New Roman" w:hAnsi="Times New Roman"/>
          <w:b/>
          <w:sz w:val="28"/>
          <w:u w:val="none"/>
        </w:rPr>
      </w:pPr>
      <w:proofErr w:type="gramStart"/>
      <w:r>
        <w:rPr>
          <w:rFonts w:ascii="Times New Roman" w:hAnsi="Times New Roman"/>
          <w:b/>
          <w:sz w:val="28"/>
          <w:u w:val="none"/>
        </w:rPr>
        <w:t>I N F O R M A T I V</w:t>
      </w:r>
      <w:r w:rsidR="008C518A">
        <w:rPr>
          <w:rFonts w:ascii="Times New Roman" w:hAnsi="Times New Roman"/>
          <w:b/>
          <w:sz w:val="28"/>
          <w:u w:val="none"/>
        </w:rPr>
        <w:t xml:space="preserve"> </w:t>
      </w:r>
      <w:r>
        <w:rPr>
          <w:rFonts w:ascii="Times New Roman" w:hAnsi="Times New Roman"/>
          <w:b/>
          <w:sz w:val="28"/>
          <w:u w:val="none"/>
        </w:rPr>
        <w:t xml:space="preserve">N Í </w:t>
      </w:r>
      <w:r w:rsidR="008C518A">
        <w:rPr>
          <w:rFonts w:ascii="Times New Roman" w:hAnsi="Times New Roman"/>
          <w:b/>
          <w:sz w:val="28"/>
          <w:u w:val="none"/>
        </w:rPr>
        <w:t xml:space="preserve">  </w:t>
      </w:r>
      <w:r>
        <w:rPr>
          <w:rFonts w:ascii="Times New Roman" w:hAnsi="Times New Roman"/>
          <w:b/>
          <w:sz w:val="28"/>
          <w:u w:val="none"/>
        </w:rPr>
        <w:t xml:space="preserve"> Z</w:t>
      </w:r>
      <w:r w:rsidR="008C518A">
        <w:rPr>
          <w:rFonts w:ascii="Times New Roman" w:hAnsi="Times New Roman"/>
          <w:b/>
          <w:sz w:val="28"/>
          <w:u w:val="none"/>
        </w:rPr>
        <w:t xml:space="preserve"> </w:t>
      </w:r>
      <w:r>
        <w:rPr>
          <w:rFonts w:ascii="Times New Roman" w:hAnsi="Times New Roman"/>
          <w:b/>
          <w:sz w:val="28"/>
          <w:u w:val="none"/>
        </w:rPr>
        <w:t>P R Á V A</w:t>
      </w:r>
      <w:proofErr w:type="gramEnd"/>
    </w:p>
    <w:p w:rsidR="00E828B4" w:rsidRDefault="00E828B4">
      <w:pPr>
        <w:pStyle w:val="Nadpis1"/>
        <w:jc w:val="left"/>
        <w:rPr>
          <w:rFonts w:ascii="Times New Roman" w:hAnsi="Times New Roman"/>
        </w:rPr>
      </w:pPr>
    </w:p>
    <w:p w:rsidR="00E828B4" w:rsidRDefault="00E828B4">
      <w:pPr>
        <w:rPr>
          <w:sz w:val="28"/>
        </w:rPr>
      </w:pPr>
    </w:p>
    <w:p w:rsidR="00E828B4" w:rsidRDefault="00E828B4">
      <w:pPr>
        <w:ind w:left="1410" w:hanging="1410"/>
        <w:jc w:val="both"/>
        <w:rPr>
          <w:b/>
          <w:bCs/>
          <w:sz w:val="24"/>
        </w:rPr>
      </w:pPr>
      <w:r>
        <w:rPr>
          <w:b/>
          <w:bCs/>
          <w:sz w:val="24"/>
        </w:rPr>
        <w:t>Ve věci:</w:t>
      </w:r>
      <w:r>
        <w:rPr>
          <w:b/>
          <w:bCs/>
          <w:sz w:val="28"/>
        </w:rPr>
        <w:t xml:space="preserve"> </w:t>
      </w:r>
      <w:r>
        <w:rPr>
          <w:b/>
          <w:bCs/>
          <w:sz w:val="24"/>
        </w:rPr>
        <w:tab/>
        <w:t>stav městského nemovitého majetku</w:t>
      </w:r>
    </w:p>
    <w:p w:rsidR="00E828B4" w:rsidRDefault="00E828B4">
      <w:pPr>
        <w:pBdr>
          <w:bottom w:val="single" w:sz="4" w:space="1" w:color="auto"/>
        </w:pBdr>
        <w:ind w:left="1410" w:hanging="1410"/>
        <w:jc w:val="both"/>
        <w:rPr>
          <w:sz w:val="24"/>
        </w:rPr>
      </w:pPr>
    </w:p>
    <w:p w:rsidR="00E828B4" w:rsidRPr="00427E18" w:rsidRDefault="00182F84" w:rsidP="00E66CFC">
      <w:pPr>
        <w:pStyle w:val="text"/>
        <w:spacing w:before="360"/>
        <w:ind w:firstLine="709"/>
        <w:jc w:val="both"/>
        <w:rPr>
          <w:strike/>
          <w:highlight w:val="yellow"/>
        </w:rPr>
      </w:pPr>
      <w:r w:rsidRPr="00645BC2">
        <w:t>Každoročně je celoměstským orgánům předkládána informativní zp</w:t>
      </w:r>
      <w:r w:rsidR="00E66CFC" w:rsidRPr="00645BC2">
        <w:t>r</w:t>
      </w:r>
      <w:r w:rsidR="0043710C">
        <w:t>áva o majetku, která je </w:t>
      </w:r>
      <w:r w:rsidRPr="00645BC2">
        <w:t xml:space="preserve">odrazem nakládání s majetkem za uplynulé roční období </w:t>
      </w:r>
      <w:r w:rsidR="00E66CFC" w:rsidRPr="00645BC2">
        <w:t xml:space="preserve">a </w:t>
      </w:r>
      <w:r w:rsidRPr="00645BC2">
        <w:t xml:space="preserve">zároveň </w:t>
      </w:r>
      <w:r w:rsidR="00E66CFC" w:rsidRPr="00645BC2">
        <w:t>porovnáním</w:t>
      </w:r>
      <w:r w:rsidRPr="00645BC2">
        <w:t xml:space="preserve"> vývoje stavu městského majetku</w:t>
      </w:r>
      <w:r w:rsidR="00E66CFC" w:rsidRPr="00645BC2">
        <w:t>.</w:t>
      </w:r>
    </w:p>
    <w:p w:rsidR="00427E18" w:rsidRPr="00645BC2" w:rsidRDefault="00427E18" w:rsidP="00427E18">
      <w:pPr>
        <w:pStyle w:val="text"/>
        <w:spacing w:before="0"/>
        <w:ind w:firstLine="709"/>
        <w:jc w:val="both"/>
      </w:pPr>
      <w:r w:rsidRPr="00645BC2">
        <w:t xml:space="preserve">Předkládaný přehled </w:t>
      </w:r>
      <w:r w:rsidR="005F7F97">
        <w:t xml:space="preserve">dokumentuje </w:t>
      </w:r>
      <w:r w:rsidRPr="00645BC2">
        <w:t xml:space="preserve">skutečný stav ke dni </w:t>
      </w:r>
      <w:r w:rsidRPr="002405D2">
        <w:t>31.</w:t>
      </w:r>
      <w:r w:rsidR="00762F28">
        <w:t xml:space="preserve"> </w:t>
      </w:r>
      <w:r w:rsidRPr="002405D2">
        <w:t>prosince 201</w:t>
      </w:r>
      <w:r w:rsidR="00C816EB">
        <w:t>6</w:t>
      </w:r>
      <w:r>
        <w:t xml:space="preserve"> tak, jak je </w:t>
      </w:r>
      <w:r w:rsidR="005F7F97">
        <w:t>veden</w:t>
      </w:r>
      <w:r>
        <w:t xml:space="preserve"> v rámci evidence majetku města. Oficiální evidencí majetku města je evidence vedená v rámci informačního systému ENO. Data v této aplikaci jsou jedenkrát měsíčně porovnávána s daty přebíranými z katastrálního úřadu. Okamžitě jsou vyhodnocovány rozdíly mezi těmito registry</w:t>
      </w:r>
      <w:r w:rsidR="005F7F97">
        <w:t xml:space="preserve"> a ke vzniklým změnám vyžádány listiny.</w:t>
      </w:r>
      <w:r>
        <w:t xml:space="preserve"> Tímto způsobem je zajištěna co největší aktuálnost všech dat v této evidenci. Zároveň jsou v této evidenci zaznamenávány veškeré převody nemovitého majetku mezi správci tak</w:t>
      </w:r>
      <w:r w:rsidR="00481FE4">
        <w:t>,</w:t>
      </w:r>
      <w:r>
        <w:t xml:space="preserve"> aby </w:t>
      </w:r>
      <w:r w:rsidR="00410AF0">
        <w:t xml:space="preserve">byly </w:t>
      </w:r>
      <w:r>
        <w:t xml:space="preserve">neustále aktuální informace o správcích majetku. </w:t>
      </w:r>
      <w:proofErr w:type="gramStart"/>
      <w:r>
        <w:t>ENO</w:t>
      </w:r>
      <w:proofErr w:type="gramEnd"/>
      <w:r>
        <w:t xml:space="preserve"> je zároveň </w:t>
      </w:r>
      <w:proofErr w:type="gramStart"/>
      <w:r>
        <w:t>provázáno</w:t>
      </w:r>
      <w:proofErr w:type="gramEnd"/>
      <w:r>
        <w:t xml:space="preserve"> s Centrální evidencí smluv, v níž jsou evidován</w:t>
      </w:r>
      <w:r w:rsidR="005F7F97">
        <w:t>y</w:t>
      </w:r>
      <w:r>
        <w:t xml:space="preserve"> veškeré smluvní vztahy města kromě pracovně právních ujednání. Díky této skutečnosti je možné u každého nemovitého objektu v majetku města zjistit, </w:t>
      </w:r>
      <w:r w:rsidR="005F7F97">
        <w:t>zda je dotčen smluvními vztahy</w:t>
      </w:r>
      <w:r>
        <w:t xml:space="preserve"> a jak je tedy omezeno nakládání s ním. </w:t>
      </w:r>
      <w:r w:rsidR="006B4DE7">
        <w:t>Po úpravách aplikace</w:t>
      </w:r>
      <w:r w:rsidR="00341E07">
        <w:t>,</w:t>
      </w:r>
      <w:r w:rsidR="006B4DE7">
        <w:t xml:space="preserve"> v nichž je vedená evidence majetku města</w:t>
      </w:r>
      <w:r w:rsidR="00341E07">
        <w:t>,</w:t>
      </w:r>
      <w:r w:rsidR="006B4DE7">
        <w:t xml:space="preserve"> jsou společně s údaji o parcelách 1x měsíčně aktualizovány i veškeré údaje o právních vztazích týkajících se buď majetku </w:t>
      </w:r>
      <w:r w:rsidR="004B4450">
        <w:t>města, nebo</w:t>
      </w:r>
      <w:r w:rsidR="006B4DE7">
        <w:t xml:space="preserve"> statutárního města Plzně jako právnické osoby vystupující v roli např</w:t>
      </w:r>
      <w:r w:rsidR="006B4DE7" w:rsidRPr="000B3CBD">
        <w:t>. věřitele, oprávněného</w:t>
      </w:r>
      <w:r w:rsidR="006B4DE7">
        <w:t xml:space="preserve"> z věcného břemena apod. </w:t>
      </w:r>
      <w:r>
        <w:t>V současné době se EVID</w:t>
      </w:r>
      <w:r w:rsidR="00105653">
        <w:t xml:space="preserve"> MMP</w:t>
      </w:r>
      <w:r>
        <w:t xml:space="preserve"> zároveň snaží soustředit k jednotlivým objektům v majetku města (parcelám, budovám) i dokumentaci, a to jednak fotografie, ale zároveň i např. historickou dokumentaci ze stavebního archivu, popř. jiné materiály vypovídající o historii a stavu jednotlivých objektů. Do evidence majetku jsou promítány také změny v Bytové politice města</w:t>
      </w:r>
      <w:r w:rsidR="00105653">
        <w:t xml:space="preserve"> Plzně</w:t>
      </w:r>
      <w:r>
        <w:t>, která je předkládána Bytovým odborem MMP.</w:t>
      </w:r>
    </w:p>
    <w:p w:rsidR="00E828B4" w:rsidRPr="00645BC2" w:rsidRDefault="00E828B4">
      <w:pPr>
        <w:pStyle w:val="text"/>
        <w:spacing w:before="0"/>
        <w:ind w:firstLine="709"/>
        <w:jc w:val="both"/>
      </w:pPr>
    </w:p>
    <w:p w:rsidR="00E828B4" w:rsidRDefault="00E828B4">
      <w:pPr>
        <w:pStyle w:val="text"/>
        <w:spacing w:before="360"/>
        <w:rPr>
          <w:b/>
          <w:u w:val="single"/>
        </w:rPr>
      </w:pPr>
      <w:r>
        <w:rPr>
          <w:b/>
          <w:u w:val="single"/>
        </w:rPr>
        <w:t>1. Stav městského nemovitého majetku</w:t>
      </w:r>
    </w:p>
    <w:p w:rsidR="00E828B4" w:rsidRDefault="00E828B4">
      <w:pPr>
        <w:pStyle w:val="text"/>
        <w:spacing w:before="360" w:after="60"/>
        <w:ind w:firstLine="709"/>
        <w:jc w:val="both"/>
      </w:pPr>
      <w:r>
        <w:t xml:space="preserve">Město je vlastníkem nemovitostí </w:t>
      </w:r>
      <w:proofErr w:type="gramStart"/>
      <w:r>
        <w:t>ve</w:t>
      </w:r>
      <w:proofErr w:type="gramEnd"/>
      <w:r>
        <w:t>:</w:t>
      </w:r>
    </w:p>
    <w:p w:rsidR="00E828B4" w:rsidRDefault="00E828B4">
      <w:pPr>
        <w:pStyle w:val="text"/>
        <w:spacing w:before="180"/>
        <w:ind w:left="993" w:hanging="284"/>
        <w:jc w:val="both"/>
      </w:pPr>
      <w:r>
        <w:t xml:space="preserve">23 katastrálních </w:t>
      </w:r>
      <w:proofErr w:type="gramStart"/>
      <w:r>
        <w:t>územích</w:t>
      </w:r>
      <w:proofErr w:type="gramEnd"/>
      <w:r>
        <w:t xml:space="preserve"> na území statutárního města Plzně</w:t>
      </w:r>
    </w:p>
    <w:p w:rsidR="00E828B4" w:rsidRDefault="00E828B4">
      <w:pPr>
        <w:pStyle w:val="text"/>
        <w:spacing w:before="180" w:after="120"/>
        <w:ind w:left="1276"/>
        <w:jc w:val="both"/>
      </w:pPr>
      <w:bookmarkStart w:id="0" w:name="OLE_LINK1"/>
      <w:r>
        <w:t xml:space="preserve">Bolevec, </w:t>
      </w:r>
      <w:proofErr w:type="spellStart"/>
      <w:r>
        <w:t>Božkov</w:t>
      </w:r>
      <w:proofErr w:type="spellEnd"/>
      <w:r>
        <w:t xml:space="preserve">, </w:t>
      </w:r>
      <w:proofErr w:type="spellStart"/>
      <w:r>
        <w:t>Bručná</w:t>
      </w:r>
      <w:proofErr w:type="spellEnd"/>
      <w:r>
        <w:t xml:space="preserve">, Bukovec, Černice, Červený Hrádek u Plzně, Dolní </w:t>
      </w:r>
      <w:proofErr w:type="spellStart"/>
      <w:r>
        <w:t>Vlkýš</w:t>
      </w:r>
      <w:proofErr w:type="spellEnd"/>
      <w:r>
        <w:t xml:space="preserve">, Doubravka, </w:t>
      </w:r>
      <w:proofErr w:type="spellStart"/>
      <w:r>
        <w:t>Doudlevce</w:t>
      </w:r>
      <w:proofErr w:type="spellEnd"/>
      <w:r>
        <w:t xml:space="preserve">, Hradiště u Plzně, </w:t>
      </w:r>
      <w:proofErr w:type="spellStart"/>
      <w:r>
        <w:t>Koterov</w:t>
      </w:r>
      <w:proofErr w:type="spellEnd"/>
      <w:r>
        <w:t xml:space="preserve">, Křimice, Lhota u Dobřan, Litice u Plzně, </w:t>
      </w:r>
      <w:proofErr w:type="spellStart"/>
      <w:r>
        <w:t>Lobzy</w:t>
      </w:r>
      <w:proofErr w:type="spellEnd"/>
      <w:r>
        <w:t xml:space="preserve">, </w:t>
      </w:r>
      <w:proofErr w:type="spellStart"/>
      <w:r w:rsidR="00455ECC">
        <w:t>Malesice</w:t>
      </w:r>
      <w:proofErr w:type="spellEnd"/>
      <w:r w:rsidR="00455ECC">
        <w:t>,</w:t>
      </w:r>
      <w:r>
        <w:t xml:space="preserve"> Plzeň, Plzeň 4, Radčice u Plzně, Radobyčice, Skvrňany, Újezd, Valcha.</w:t>
      </w:r>
    </w:p>
    <w:p w:rsidR="00E828B4" w:rsidRDefault="00632211">
      <w:pPr>
        <w:pStyle w:val="text"/>
        <w:spacing w:before="180"/>
        <w:ind w:left="993" w:hanging="284"/>
        <w:jc w:val="both"/>
      </w:pPr>
      <w:r w:rsidRPr="00157DA7">
        <w:t>5</w:t>
      </w:r>
      <w:r w:rsidR="00DE3D3D">
        <w:t>2</w:t>
      </w:r>
      <w:r w:rsidR="00E828B4">
        <w:t xml:space="preserve"> katastrálních </w:t>
      </w:r>
      <w:proofErr w:type="gramStart"/>
      <w:r w:rsidR="00E828B4">
        <w:t>územích</w:t>
      </w:r>
      <w:proofErr w:type="gramEnd"/>
      <w:r w:rsidR="00E828B4">
        <w:t xml:space="preserve"> </w:t>
      </w:r>
      <w:r>
        <w:t>mimo území statutárního města Plzně</w:t>
      </w:r>
    </w:p>
    <w:p w:rsidR="00E828B4" w:rsidRPr="000110D5" w:rsidRDefault="00E828B4" w:rsidP="00012583">
      <w:pPr>
        <w:pStyle w:val="text"/>
        <w:spacing w:before="180"/>
        <w:ind w:left="1276"/>
        <w:jc w:val="both"/>
      </w:pPr>
      <w:r w:rsidRPr="00157DA7">
        <w:t xml:space="preserve">Bušovice, Ejpovice, Litohlavy, </w:t>
      </w:r>
      <w:proofErr w:type="spellStart"/>
      <w:r w:rsidR="00DE3D3D">
        <w:t>Sedlecko</w:t>
      </w:r>
      <w:proofErr w:type="spellEnd"/>
      <w:r w:rsidR="00DE3D3D">
        <w:t xml:space="preserve">, </w:t>
      </w:r>
      <w:r w:rsidRPr="00157DA7">
        <w:t xml:space="preserve">Smědčice, </w:t>
      </w:r>
      <w:proofErr w:type="spellStart"/>
      <w:r w:rsidRPr="00157DA7">
        <w:t>Střapole</w:t>
      </w:r>
      <w:proofErr w:type="spellEnd"/>
      <w:r w:rsidRPr="00157DA7">
        <w:t xml:space="preserve">, </w:t>
      </w:r>
      <w:proofErr w:type="spellStart"/>
      <w:r w:rsidRPr="00157DA7">
        <w:t>Vítinka</w:t>
      </w:r>
      <w:proofErr w:type="spellEnd"/>
      <w:r w:rsidRPr="00157DA7">
        <w:t>, Rokycany</w:t>
      </w:r>
      <w:r w:rsidR="00632211" w:rsidRPr="00157DA7">
        <w:t xml:space="preserve">, </w:t>
      </w:r>
      <w:r w:rsidRPr="00157DA7">
        <w:t xml:space="preserve">Dobřany, </w:t>
      </w:r>
      <w:proofErr w:type="spellStart"/>
      <w:r w:rsidRPr="00157DA7">
        <w:t>Hoříkovice</w:t>
      </w:r>
      <w:proofErr w:type="spellEnd"/>
      <w:r w:rsidRPr="00157DA7">
        <w:t xml:space="preserve"> u Chotěšova, Chotěšov, Kotovice, </w:t>
      </w:r>
      <w:r w:rsidR="00323B08" w:rsidRPr="00157DA7">
        <w:t xml:space="preserve">Lisov, </w:t>
      </w:r>
      <w:r w:rsidRPr="00157DA7">
        <w:t xml:space="preserve">Letkov, Líšina, Losina, Losiná u Plzně, Mantov, Příchovice u Přeštic, Starý Plzenec, Stod, Střelice, </w:t>
      </w:r>
      <w:proofErr w:type="spellStart"/>
      <w:r w:rsidRPr="00157DA7">
        <w:t>Šlovice</w:t>
      </w:r>
      <w:proofErr w:type="spellEnd"/>
      <w:r w:rsidRPr="00157DA7">
        <w:t xml:space="preserve"> u Plzně, Šťáhlavice, Štěnovice, Tymákov, </w:t>
      </w:r>
      <w:r w:rsidR="00D352F1" w:rsidRPr="00157DA7">
        <w:t>Týnec u Chotěšova, Vodní újezd, Útušice</w:t>
      </w:r>
      <w:r w:rsidR="00F97AF9" w:rsidRPr="00157DA7">
        <w:t xml:space="preserve">, </w:t>
      </w:r>
      <w:proofErr w:type="spellStart"/>
      <w:r w:rsidR="00F97AF9" w:rsidRPr="00157DA7">
        <w:t>Robčice</w:t>
      </w:r>
      <w:proofErr w:type="spellEnd"/>
      <w:r w:rsidR="00F97AF9" w:rsidRPr="00157DA7">
        <w:t xml:space="preserve"> u Štěnovic</w:t>
      </w:r>
      <w:r w:rsidR="00632211" w:rsidRPr="00157DA7">
        <w:t xml:space="preserve">, </w:t>
      </w:r>
      <w:r w:rsidRPr="00157DA7">
        <w:t>Čem</w:t>
      </w:r>
      <w:r w:rsidR="00F97AF9" w:rsidRPr="00157DA7">
        <w:t>i</w:t>
      </w:r>
      <w:r w:rsidRPr="00157DA7">
        <w:t xml:space="preserve">ny, </w:t>
      </w:r>
      <w:r w:rsidR="00E9360C" w:rsidRPr="00157DA7">
        <w:t>Červený újezd u</w:t>
      </w:r>
      <w:r w:rsidR="00D84281" w:rsidRPr="00157DA7">
        <w:t> </w:t>
      </w:r>
      <w:r w:rsidR="00E9360C" w:rsidRPr="00157DA7">
        <w:t xml:space="preserve">Zbůchu, </w:t>
      </w:r>
      <w:r w:rsidRPr="00157DA7">
        <w:t>Dolany</w:t>
      </w:r>
      <w:r w:rsidR="001A3152" w:rsidRPr="00157DA7">
        <w:t xml:space="preserve"> u Plzně</w:t>
      </w:r>
      <w:r w:rsidRPr="00157DA7">
        <w:t xml:space="preserve">, Druztová, Dýšina, </w:t>
      </w:r>
      <w:r w:rsidR="00E9360C" w:rsidRPr="00157DA7">
        <w:t xml:space="preserve">Horní Bříza, </w:t>
      </w:r>
      <w:r w:rsidR="0043710C">
        <w:t>Chotíkov, Chrást u </w:t>
      </w:r>
      <w:r w:rsidRPr="00157DA7">
        <w:t xml:space="preserve">Plzně, </w:t>
      </w:r>
      <w:proofErr w:type="spellStart"/>
      <w:r w:rsidRPr="00157DA7">
        <w:t>Kůští</w:t>
      </w:r>
      <w:proofErr w:type="spellEnd"/>
      <w:r w:rsidRPr="00157DA7">
        <w:t>, Kyšice u Plzně, Líně, Nadryby, Nýřany, Přehýšov, Senec u Plzně,</w:t>
      </w:r>
      <w:r w:rsidR="00DE3D3D">
        <w:t xml:space="preserve"> </w:t>
      </w:r>
      <w:r w:rsidR="0043710C">
        <w:t>Úherce u </w:t>
      </w:r>
      <w:r w:rsidRPr="00157DA7">
        <w:t>Nýřan,</w:t>
      </w:r>
      <w:r w:rsidR="00E9360C" w:rsidRPr="00157DA7">
        <w:t xml:space="preserve"> Úlice, Vejprnice, Zbůch, Zruč</w:t>
      </w:r>
      <w:r w:rsidR="00012583" w:rsidRPr="00157DA7">
        <w:t xml:space="preserve">, </w:t>
      </w:r>
      <w:proofErr w:type="spellStart"/>
      <w:r w:rsidRPr="00157DA7">
        <w:t>J</w:t>
      </w:r>
      <w:r w:rsidR="00012583" w:rsidRPr="00157DA7">
        <w:t>avorná</w:t>
      </w:r>
      <w:proofErr w:type="spellEnd"/>
      <w:r w:rsidR="00012583" w:rsidRPr="00157DA7">
        <w:t xml:space="preserve"> na Šumavě, Horská Kvilda</w:t>
      </w:r>
    </w:p>
    <w:bookmarkEnd w:id="0"/>
    <w:p w:rsidR="00E828B4" w:rsidRPr="000110D5" w:rsidRDefault="00E828B4">
      <w:pPr>
        <w:pStyle w:val="text"/>
        <w:spacing w:before="0" w:after="60"/>
        <w:ind w:firstLine="709"/>
        <w:jc w:val="both"/>
      </w:pPr>
    </w:p>
    <w:p w:rsidR="00B65520" w:rsidRPr="00887018" w:rsidRDefault="00887018" w:rsidP="00154B9B">
      <w:pPr>
        <w:pStyle w:val="text"/>
        <w:keepNext/>
        <w:spacing w:before="0" w:after="60"/>
        <w:jc w:val="center"/>
        <w:rPr>
          <w:b/>
          <w:u w:val="single"/>
        </w:rPr>
      </w:pPr>
      <w:r w:rsidRPr="0039681E">
        <w:rPr>
          <w:b/>
          <w:u w:val="single"/>
        </w:rPr>
        <w:t>Přehled vlastnictví statutárního měst</w:t>
      </w:r>
      <w:r w:rsidR="00AC0E0E" w:rsidRPr="0039681E">
        <w:rPr>
          <w:b/>
          <w:u w:val="single"/>
        </w:rPr>
        <w:t>a</w:t>
      </w:r>
      <w:r w:rsidRPr="0039681E">
        <w:rPr>
          <w:b/>
          <w:u w:val="single"/>
        </w:rPr>
        <w:t xml:space="preserve"> Plzně rozděleného podle druhů pozemků</w:t>
      </w:r>
    </w:p>
    <w:p w:rsidR="00B65520" w:rsidRDefault="00B13AA1" w:rsidP="00B65520">
      <w:pPr>
        <w:pStyle w:val="text"/>
        <w:spacing w:before="0"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59922" wp14:editId="50006672">
                <wp:simplePos x="0" y="0"/>
                <wp:positionH relativeFrom="column">
                  <wp:posOffset>3143885</wp:posOffset>
                </wp:positionH>
                <wp:positionV relativeFrom="paragraph">
                  <wp:posOffset>3493770</wp:posOffset>
                </wp:positionV>
                <wp:extent cx="3771900" cy="55225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52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256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51"/>
                              <w:gridCol w:w="1104"/>
                              <w:gridCol w:w="1089"/>
                              <w:gridCol w:w="1112"/>
                            </w:tblGrid>
                            <w:tr w:rsidR="00B44969" w:rsidTr="00444677">
                              <w:trPr>
                                <w:trHeight w:val="255"/>
                              </w:trPr>
                              <w:tc>
                                <w:tcPr>
                                  <w:tcW w:w="525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thinThickSmallGap" w:sz="1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B44969" w:rsidRPr="00444677" w:rsidRDefault="00B44969" w:rsidP="004446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vertAlign w:val="superscript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Území statutárního města Plzně LV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0147D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1, LV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0147D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10001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v 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94334" w:rsidRPr="00D527BC" w:rsidTr="000735A9">
                              <w:trPr>
                                <w:trHeight w:val="30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thinThickSmallGap" w:sz="18" w:space="0" w:color="auto"/>
                                    <w:left w:val="thinThickSmallGap" w:sz="18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444677" w:rsidRDefault="00794334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thinThickSmallGap" w:sz="1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31.12.2014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thinThickSmallGap" w:sz="1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31.12.2015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thinThickSmallGap" w:sz="18" w:space="0" w:color="auto"/>
                                    <w:left w:val="single" w:sz="8" w:space="0" w:color="auto"/>
                                    <w:bottom w:val="double" w:sz="6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31.12.2016</w:t>
                                  </w:r>
                                  <w:proofErr w:type="gramEnd"/>
                                </w:p>
                              </w:tc>
                            </w:tr>
                            <w:tr w:rsidR="00794334" w:rsidTr="000735A9">
                              <w:trPr>
                                <w:trHeight w:val="30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444677" w:rsidRDefault="00794334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Zjednodušená evidence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444677" w:rsidRDefault="00794334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Zemědělská půda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5 393 186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5 309 275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5 358 121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444677" w:rsidRDefault="00794334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Lesy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20 153 985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20 119 276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20 131 971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444677" w:rsidRDefault="00794334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Vodní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1 085 875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1 095 721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1 100 261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444677" w:rsidRDefault="00794334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Zastavěné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829 571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825 504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819 494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444677" w:rsidRDefault="00794334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Ostatní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18 579 176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doub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18 681 915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double" w:sz="6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18 796 737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thickThinSmallGap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444677" w:rsidRDefault="00794334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nil"/>
                                    <w:bottom w:val="thickThinSmallGap" w:sz="1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46 041 793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thickThinSmallGap" w:sz="1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46 031 691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thickThinSmallGap" w:sz="18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46 206 584</w:t>
                                  </w:r>
                                </w:p>
                              </w:tc>
                            </w:tr>
                            <w:tr w:rsidR="00B44969" w:rsidTr="00444677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0147D0" w:rsidRDefault="00B44969" w:rsidP="000147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0147D0" w:rsidRDefault="00B44969" w:rsidP="000147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0147D0" w:rsidRDefault="00B44969" w:rsidP="000147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0147D0" w:rsidRDefault="00B44969" w:rsidP="000147D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44969" w:rsidTr="00444677">
                              <w:trPr>
                                <w:trHeight w:val="255"/>
                              </w:trPr>
                              <w:tc>
                                <w:tcPr>
                                  <w:tcW w:w="525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thinThickSmallGap" w:sz="1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B44969" w:rsidRPr="00444677" w:rsidRDefault="00B44969" w:rsidP="004446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vertAlign w:val="superscript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Mimo území statutárního města Plzně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v 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thinThickSmallGap" w:sz="18" w:space="0" w:color="auto"/>
                                    <w:left w:val="thinThickSmallGap" w:sz="18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thinThickSmallGap" w:sz="1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31.12.2014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thinThickSmallGap" w:sz="1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31.12.2015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double" w:sz="6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31.12.201</w:t>
                                  </w:r>
                                  <w:r w:rsidR="000735A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proofErr w:type="gramEnd"/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Zjednodušená evidence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450 998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375 628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378 502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Zemědělská půda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7 485 356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7 282 727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7 272 551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Lesy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20 856 013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20 828 223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20 824 755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Vodní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265 453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266 362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247 654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thinThickSmallGap" w:sz="1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Zastavěné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15 965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13 385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17 692</w:t>
                                  </w:r>
                                </w:p>
                              </w:tc>
                            </w:tr>
                            <w:tr w:rsidR="00794334" w:rsidRPr="00B13AA1" w:rsidTr="000735A9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thinThickSmallGap" w:sz="18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Ostatní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789 217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doub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707 190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693 142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thickThinSmallGap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nil"/>
                                    <w:bottom w:val="thickThinSmallGap" w:sz="1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29 863 002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thickThinSmallGap" w:sz="1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29 473 515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thickThinSmallGap" w:sz="18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29 434 296</w:t>
                                  </w:r>
                                </w:p>
                              </w:tc>
                            </w:tr>
                            <w:tr w:rsidR="00B44969" w:rsidTr="00444677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0147D0" w:rsidRDefault="00B44969" w:rsidP="000147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0147D0" w:rsidRDefault="00B44969" w:rsidP="000147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0147D0" w:rsidRDefault="00B44969" w:rsidP="000147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9709CD" w:rsidRDefault="00B44969" w:rsidP="000147D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44969" w:rsidTr="00444677">
                              <w:trPr>
                                <w:trHeight w:val="255"/>
                              </w:trPr>
                              <w:tc>
                                <w:tcPr>
                                  <w:tcW w:w="525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thinThickSmallGap" w:sz="1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B44969" w:rsidRPr="009709CD" w:rsidRDefault="00B44969" w:rsidP="009709CD">
                                  <w:pPr>
                                    <w:ind w:right="-59" w:hanging="21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vertAlign w:val="superscript"/>
                                    </w:rPr>
                                  </w:pPr>
                                  <w:r w:rsidRPr="009709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Území statutárního města Plzně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- </w:t>
                                  </w:r>
                                  <w:r w:rsidRPr="009709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spoluvlastnictví v m</w:t>
                                  </w:r>
                                  <w:r w:rsidRPr="009709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thinThickSmallGap" w:sz="18" w:space="0" w:color="auto"/>
                                    <w:left w:val="thinThickSmallGap" w:sz="18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thinThickSmallGap" w:sz="1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31.12.2014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thinThickSmallGap" w:sz="1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31.12.2015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thinThickSmallGap" w:sz="18" w:space="0" w:color="auto"/>
                                    <w:left w:val="single" w:sz="8" w:space="0" w:color="auto"/>
                                    <w:bottom w:val="double" w:sz="6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31.12.2016</w:t>
                                  </w:r>
                                  <w:proofErr w:type="gramEnd"/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Zjednodušená evidence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Zemědělská půda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191 179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212 725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223 330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Lesy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2 715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14 958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2 715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Vodní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5 956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5 956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1 416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Zastavěné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103 272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91 838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80 487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Ostatní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137 597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doub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120 501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double" w:sz="6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140 888</w:t>
                                  </w:r>
                                </w:p>
                              </w:tc>
                            </w:tr>
                            <w:tr w:rsidR="00794334" w:rsidTr="000735A9"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thickThinSmallGap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0147D0" w:rsidRDefault="00794334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nil"/>
                                    <w:bottom w:val="thickThinSmallGap" w:sz="1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440 719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thickThinSmallGap" w:sz="1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445 978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thickThinSmallGap" w:sz="18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94334" w:rsidRPr="00794334" w:rsidRDefault="00794334" w:rsidP="000735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448 836</w:t>
                                  </w:r>
                                </w:p>
                              </w:tc>
                            </w:tr>
                          </w:tbl>
                          <w:p w:rsidR="00B44969" w:rsidRPr="000147D0" w:rsidRDefault="00B44969" w:rsidP="004446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5pt;margin-top:275.1pt;width:297pt;height:4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cC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yWwWJgGYSrDFcRTFS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" filled="f" stroked="f">
                <v:textbox>
                  <w:txbxContent>
                    <w:tbl>
                      <w:tblPr>
                        <w:tblW w:w="5256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51"/>
                        <w:gridCol w:w="1104"/>
                        <w:gridCol w:w="1089"/>
                        <w:gridCol w:w="1112"/>
                      </w:tblGrid>
                      <w:tr w:rsidR="00B44969" w:rsidTr="00444677">
                        <w:trPr>
                          <w:trHeight w:val="255"/>
                        </w:trPr>
                        <w:tc>
                          <w:tcPr>
                            <w:tcW w:w="5256" w:type="dxa"/>
                            <w:gridSpan w:val="4"/>
                            <w:tcBorders>
                              <w:top w:val="nil"/>
                              <w:left w:val="nil"/>
                              <w:bottom w:val="thinThickSmallGap" w:sz="18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B44969" w:rsidRPr="00444677" w:rsidRDefault="00B44969" w:rsidP="004446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Území statutárního města Plzně LV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0147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1, LV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0147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10001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v 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794334" w:rsidRPr="00D527BC" w:rsidTr="000735A9">
                        <w:trPr>
                          <w:trHeight w:val="300"/>
                        </w:trPr>
                        <w:tc>
                          <w:tcPr>
                            <w:tcW w:w="1951" w:type="dxa"/>
                            <w:tcBorders>
                              <w:top w:val="thinThickSmallGap" w:sz="18" w:space="0" w:color="auto"/>
                              <w:left w:val="thinThickSmallGap" w:sz="18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444677" w:rsidRDefault="00794334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thinThickSmallGap" w:sz="18" w:space="0" w:color="auto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31.12.2014</w:t>
                            </w:r>
                            <w:proofErr w:type="gram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thinThickSmallGap" w:sz="18" w:space="0" w:color="auto"/>
                              <w:left w:val="single" w:sz="4" w:space="0" w:color="auto"/>
                              <w:bottom w:val="doub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31.12.2015</w:t>
                            </w:r>
                            <w:proofErr w:type="gramEnd"/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thinThickSmallGap" w:sz="18" w:space="0" w:color="auto"/>
                              <w:left w:val="single" w:sz="8" w:space="0" w:color="auto"/>
                              <w:bottom w:val="double" w:sz="6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31.12.2016</w:t>
                            </w:r>
                            <w:proofErr w:type="gramEnd"/>
                          </w:p>
                        </w:tc>
                      </w:tr>
                      <w:tr w:rsidR="00794334" w:rsidTr="000735A9">
                        <w:trPr>
                          <w:trHeight w:val="300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444677" w:rsidRDefault="00794334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Zjednodušená evidence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444677" w:rsidRDefault="00794334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Zemědělská půda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5 393 186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5 309 275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5 358 121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444677" w:rsidRDefault="00794334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20 153 985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20 119 276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20 131 971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444677" w:rsidRDefault="00794334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Vodní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1 085 875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1 095 721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1 100 261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444677" w:rsidRDefault="00794334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Zastavěné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829 571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825 504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819 494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444677" w:rsidRDefault="00794334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Ostatní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18 579 176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doub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18 681 915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double" w:sz="6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18 796 737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8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thickThinSmallGap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444677" w:rsidRDefault="00794334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nil"/>
                              <w:bottom w:val="thickThinSmallGap" w:sz="1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46 041 793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thickThinSmallGap" w:sz="1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46 031 691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thickThinSmallGap" w:sz="18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46 206 584</w:t>
                            </w:r>
                          </w:p>
                        </w:tc>
                      </w:tr>
                      <w:tr w:rsidR="00B44969" w:rsidTr="00444677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0147D0" w:rsidRDefault="00B44969" w:rsidP="000147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0147D0" w:rsidRDefault="00B44969" w:rsidP="000147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0147D0" w:rsidRDefault="00B44969" w:rsidP="000147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0147D0" w:rsidRDefault="00B44969" w:rsidP="000147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44969" w:rsidTr="00444677">
                        <w:trPr>
                          <w:trHeight w:val="255"/>
                        </w:trPr>
                        <w:tc>
                          <w:tcPr>
                            <w:tcW w:w="5256" w:type="dxa"/>
                            <w:gridSpan w:val="4"/>
                            <w:tcBorders>
                              <w:top w:val="nil"/>
                              <w:left w:val="nil"/>
                              <w:bottom w:val="thinThickSmallGap" w:sz="18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B44969" w:rsidRPr="00444677" w:rsidRDefault="00B44969" w:rsidP="004446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Mimo území statutárního města Plzně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v 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thinThickSmallGap" w:sz="18" w:space="0" w:color="auto"/>
                              <w:left w:val="thinThickSmallGap" w:sz="18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thinThickSmallGap" w:sz="18" w:space="0" w:color="auto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31.12.2014</w:t>
                            </w:r>
                            <w:proofErr w:type="gram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thinThickSmallGap" w:sz="18" w:space="0" w:color="auto"/>
                              <w:left w:val="single" w:sz="4" w:space="0" w:color="auto"/>
                              <w:bottom w:val="doub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31.12.2015</w:t>
                            </w:r>
                            <w:proofErr w:type="gramEnd"/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thinThickSmallGap" w:sz="18" w:space="0" w:color="auto"/>
                              <w:left w:val="nil"/>
                              <w:bottom w:val="double" w:sz="6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31.12.201</w:t>
                            </w:r>
                            <w:r w:rsidR="000735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proofErr w:type="gramEnd"/>
                          </w:p>
                        </w:tc>
                      </w:tr>
                      <w:tr w:rsidR="00794334" w:rsidTr="000735A9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Zjednodušená evidence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450 998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375 628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378 502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Zemědělská půda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7 485 356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7 282 727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nil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7 272 551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20 856 013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20 828 223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20 824 755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Vodní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265 453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266 362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nil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247 654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thinThickSmallGap" w:sz="1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Zastavěné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15 965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13 385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17 692</w:t>
                            </w:r>
                          </w:p>
                        </w:tc>
                      </w:tr>
                      <w:tr w:rsidR="00794334" w:rsidRPr="00B13AA1" w:rsidTr="000735A9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thinThickSmallGap" w:sz="18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Ostatní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789 217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doub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707 190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693 142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8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thickThinSmallGap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nil"/>
                              <w:bottom w:val="thickThinSmallGap" w:sz="1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29 863 002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thickThinSmallGap" w:sz="1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29 473 515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thickThinSmallGap" w:sz="18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29 434 296</w:t>
                            </w:r>
                          </w:p>
                        </w:tc>
                      </w:tr>
                      <w:tr w:rsidR="00B44969" w:rsidTr="00444677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0147D0" w:rsidRDefault="00B44969" w:rsidP="000147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0147D0" w:rsidRDefault="00B44969" w:rsidP="000147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0147D0" w:rsidRDefault="00B44969" w:rsidP="000147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9709CD" w:rsidRDefault="00B44969" w:rsidP="000147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44969" w:rsidTr="00444677">
                        <w:trPr>
                          <w:trHeight w:val="255"/>
                        </w:trPr>
                        <w:tc>
                          <w:tcPr>
                            <w:tcW w:w="5256" w:type="dxa"/>
                            <w:gridSpan w:val="4"/>
                            <w:tcBorders>
                              <w:top w:val="nil"/>
                              <w:left w:val="nil"/>
                              <w:bottom w:val="thinThickSmallGap" w:sz="18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B44969" w:rsidRPr="009709CD" w:rsidRDefault="00B44969" w:rsidP="009709CD">
                            <w:pPr>
                              <w:ind w:right="-59" w:hanging="21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</w:pPr>
                            <w:r w:rsidRPr="009709C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Území statutárního města Plzně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- </w:t>
                            </w:r>
                            <w:r w:rsidRPr="009709C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spoluvlastnictví v m</w:t>
                            </w:r>
                            <w:r w:rsidRPr="009709C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thinThickSmallGap" w:sz="18" w:space="0" w:color="auto"/>
                              <w:left w:val="thinThickSmallGap" w:sz="18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thinThickSmallGap" w:sz="18" w:space="0" w:color="auto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31.12.2014</w:t>
                            </w:r>
                            <w:proofErr w:type="gram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thinThickSmallGap" w:sz="18" w:space="0" w:color="auto"/>
                              <w:left w:val="single" w:sz="4" w:space="0" w:color="auto"/>
                              <w:bottom w:val="doub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31.12.2015</w:t>
                            </w:r>
                            <w:proofErr w:type="gramEnd"/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thinThickSmallGap" w:sz="18" w:space="0" w:color="auto"/>
                              <w:left w:val="single" w:sz="8" w:space="0" w:color="auto"/>
                              <w:bottom w:val="double" w:sz="6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31.12.2016</w:t>
                            </w:r>
                            <w:proofErr w:type="gramEnd"/>
                          </w:p>
                        </w:tc>
                      </w:tr>
                      <w:tr w:rsidR="00794334" w:rsidTr="000735A9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Zjednodušená evidence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Zemědělská půda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191 179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212 725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223 330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2 715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14 958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2 715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Vodní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5 956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5 956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1 416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Zastavěné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103 272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91 838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80 487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Ostatní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137 597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doub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120 501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double" w:sz="6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140 888</w:t>
                            </w:r>
                          </w:p>
                        </w:tc>
                      </w:tr>
                      <w:tr w:rsidR="00794334" w:rsidTr="000735A9">
                        <w:trPr>
                          <w:trHeight w:val="28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thickThinSmallGap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0147D0" w:rsidRDefault="00794334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nil"/>
                              <w:bottom w:val="thickThinSmallGap" w:sz="1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440 719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thickThinSmallGap" w:sz="1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445 978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thickThinSmallGap" w:sz="18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94334" w:rsidRPr="00794334" w:rsidRDefault="00794334" w:rsidP="00073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448 836</w:t>
                            </w:r>
                          </w:p>
                        </w:tc>
                      </w:tr>
                    </w:tbl>
                    <w:p w:rsidR="00B44969" w:rsidRPr="000147D0" w:rsidRDefault="00B44969" w:rsidP="00444677"/>
                  </w:txbxContent>
                </v:textbox>
              </v:shape>
            </w:pict>
          </mc:Fallback>
        </mc:AlternateContent>
      </w:r>
      <w:r w:rsidR="00794334">
        <w:rPr>
          <w:noProof/>
        </w:rPr>
        <w:drawing>
          <wp:inline distT="0" distB="0" distL="0" distR="0" wp14:anchorId="71D81AEC">
            <wp:extent cx="3240000" cy="36432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6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1C0B">
        <w:rPr>
          <w:noProof/>
        </w:rPr>
        <w:t xml:space="preserve"> </w:t>
      </w:r>
      <w:r w:rsidR="00794334">
        <w:rPr>
          <w:noProof/>
        </w:rPr>
        <w:drawing>
          <wp:inline distT="0" distB="0" distL="0" distR="0" wp14:anchorId="3DFD3782">
            <wp:extent cx="3240000" cy="36432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6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520" w:rsidRPr="00DE441C" w:rsidRDefault="0039681E" w:rsidP="00B65520">
      <w:pPr>
        <w:pStyle w:val="text"/>
        <w:spacing w:before="0" w:after="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19504" wp14:editId="592E6BD4">
                <wp:simplePos x="0" y="0"/>
                <wp:positionH relativeFrom="column">
                  <wp:posOffset>-56515</wp:posOffset>
                </wp:positionH>
                <wp:positionV relativeFrom="paragraph">
                  <wp:posOffset>3796030</wp:posOffset>
                </wp:positionV>
                <wp:extent cx="3200400" cy="148399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69" w:rsidRPr="00965A58" w:rsidRDefault="00B44969" w:rsidP="005F7F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5A58">
                              <w:rPr>
                                <w:sz w:val="18"/>
                                <w:szCs w:val="18"/>
                              </w:rPr>
                              <w:t>Upřesnění začlenění jednotlivých druhů a způsobů využití pozemků:</w:t>
                            </w:r>
                          </w:p>
                          <w:p w:rsidR="00B44969" w:rsidRPr="00965A58" w:rsidRDefault="00B44969" w:rsidP="00965A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65A58">
                              <w:rPr>
                                <w:sz w:val="18"/>
                                <w:szCs w:val="18"/>
                              </w:rPr>
                              <w:t>Zemědělská půda – orná půda, trvalý travní porost, zahrada, ovocný sad, chmelnice, vinice</w:t>
                            </w:r>
                          </w:p>
                          <w:p w:rsidR="00B44969" w:rsidRPr="00965A58" w:rsidRDefault="00B44969" w:rsidP="00965A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65A58">
                              <w:rPr>
                                <w:sz w:val="18"/>
                                <w:szCs w:val="18"/>
                              </w:rPr>
                              <w:t xml:space="preserve">Ostatní plochy způsob </w:t>
                            </w:r>
                            <w:proofErr w:type="gramStart"/>
                            <w:r w:rsidRPr="00965A58">
                              <w:rPr>
                                <w:sz w:val="18"/>
                                <w:szCs w:val="18"/>
                              </w:rPr>
                              <w:t>využití</w:t>
                            </w:r>
                            <w:proofErr w:type="gramEnd"/>
                            <w:r w:rsidRPr="00965A58"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proofErr w:type="gramStart"/>
                            <w:r w:rsidRPr="00965A58">
                              <w:rPr>
                                <w:sz w:val="18"/>
                                <w:szCs w:val="18"/>
                              </w:rPr>
                              <w:t>viz</w:t>
                            </w:r>
                            <w:proofErr w:type="gramEnd"/>
                            <w:r w:rsidRPr="00965A58">
                              <w:rPr>
                                <w:sz w:val="18"/>
                                <w:szCs w:val="18"/>
                              </w:rPr>
                              <w:t xml:space="preserve"> tabulka níže</w:t>
                            </w:r>
                          </w:p>
                          <w:p w:rsidR="00B44969" w:rsidRPr="00965A58" w:rsidRDefault="00B44969" w:rsidP="00BC79C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65A58">
                              <w:rPr>
                                <w:sz w:val="18"/>
                                <w:szCs w:val="18"/>
                              </w:rPr>
                              <w:t>Zjednodušená evidence – pozemky vedené v rámci KN ve zjednodušené evidenci dle původu dále členěny na pozemky původního Pozemkového katastru, Grafického přídělu nebo Evidence nemovitostí (parcely, jež nemají v mapě KN reálný obraz)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45pt;margin-top:298.9pt;width:252pt;height:1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F3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" filled="f" stroked="f">
                <v:textbox>
                  <w:txbxContent>
                    <w:p w:rsidR="00B44969" w:rsidRPr="00965A58" w:rsidRDefault="00B44969" w:rsidP="005F7F97">
                      <w:pPr>
                        <w:rPr>
                          <w:sz w:val="18"/>
                          <w:szCs w:val="18"/>
                        </w:rPr>
                      </w:pPr>
                      <w:r w:rsidRPr="00965A58">
                        <w:rPr>
                          <w:sz w:val="18"/>
                          <w:szCs w:val="18"/>
                        </w:rPr>
                        <w:t>Upřesnění začlenění jednotlivých druhů a způsobů využití pozemků:</w:t>
                      </w:r>
                    </w:p>
                    <w:p w:rsidR="00B44969" w:rsidRPr="00965A58" w:rsidRDefault="00B44969" w:rsidP="00965A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965A58">
                        <w:rPr>
                          <w:sz w:val="18"/>
                          <w:szCs w:val="18"/>
                        </w:rPr>
                        <w:t>Zemědělská půda – orná půda, trvalý travní porost, zahrada, ovocný sad, chmelnice, vinice</w:t>
                      </w:r>
                    </w:p>
                    <w:p w:rsidR="00B44969" w:rsidRPr="00965A58" w:rsidRDefault="00B44969" w:rsidP="00965A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965A58">
                        <w:rPr>
                          <w:sz w:val="18"/>
                          <w:szCs w:val="18"/>
                        </w:rPr>
                        <w:t xml:space="preserve">Ostatní plochy způsob </w:t>
                      </w:r>
                      <w:proofErr w:type="gramStart"/>
                      <w:r w:rsidRPr="00965A58">
                        <w:rPr>
                          <w:sz w:val="18"/>
                          <w:szCs w:val="18"/>
                        </w:rPr>
                        <w:t>využití</w:t>
                      </w:r>
                      <w:proofErr w:type="gramEnd"/>
                      <w:r w:rsidRPr="00965A58">
                        <w:rPr>
                          <w:sz w:val="18"/>
                          <w:szCs w:val="18"/>
                        </w:rPr>
                        <w:t xml:space="preserve"> –</w:t>
                      </w:r>
                      <w:proofErr w:type="gramStart"/>
                      <w:r w:rsidRPr="00965A58">
                        <w:rPr>
                          <w:sz w:val="18"/>
                          <w:szCs w:val="18"/>
                        </w:rPr>
                        <w:t>viz</w:t>
                      </w:r>
                      <w:proofErr w:type="gramEnd"/>
                      <w:r w:rsidRPr="00965A58">
                        <w:rPr>
                          <w:sz w:val="18"/>
                          <w:szCs w:val="18"/>
                        </w:rPr>
                        <w:t xml:space="preserve"> tabulka níže</w:t>
                      </w:r>
                    </w:p>
                    <w:p w:rsidR="00B44969" w:rsidRPr="00965A58" w:rsidRDefault="00B44969" w:rsidP="00BC79C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65A58">
                        <w:rPr>
                          <w:sz w:val="18"/>
                          <w:szCs w:val="18"/>
                        </w:rPr>
                        <w:t>Zjednodušená evidence – pozemky vedené v rámci KN ve zjednodušené evidenci dle původu dále členěny na pozemky původního Pozemkového katastru, Grafického přídělu nebo Evidence nemovitostí (parcely, jež nemají v mapě KN reálný obraz)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334">
        <w:rPr>
          <w:b/>
          <w:noProof/>
        </w:rPr>
        <w:drawing>
          <wp:inline distT="0" distB="0" distL="0" distR="0" wp14:anchorId="379DE5EC">
            <wp:extent cx="3240000" cy="36432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6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8B4" w:rsidRPr="00887018" w:rsidRDefault="00410AF0">
      <w:pPr>
        <w:pageBreakBefore/>
        <w:ind w:left="425" w:hanging="425"/>
        <w:jc w:val="center"/>
        <w:rPr>
          <w:b/>
          <w:sz w:val="24"/>
          <w:u w:val="single"/>
          <w:vertAlign w:val="superscript"/>
        </w:rPr>
      </w:pPr>
      <w:r>
        <w:rPr>
          <w:b/>
          <w:sz w:val="24"/>
          <w:u w:val="single"/>
        </w:rPr>
        <w:lastRenderedPageBreak/>
        <w:t>Graf a t</w:t>
      </w:r>
      <w:r w:rsidR="00E828B4" w:rsidRPr="00887018">
        <w:rPr>
          <w:b/>
          <w:sz w:val="24"/>
          <w:u w:val="single"/>
        </w:rPr>
        <w:t xml:space="preserve">abulka přehledu </w:t>
      </w:r>
      <w:r w:rsidR="001D6C36" w:rsidRPr="00887018">
        <w:rPr>
          <w:b/>
          <w:sz w:val="24"/>
          <w:u w:val="single"/>
        </w:rPr>
        <w:t xml:space="preserve">druhů </w:t>
      </w:r>
      <w:r w:rsidR="00E365AB" w:rsidRPr="00887018">
        <w:rPr>
          <w:b/>
          <w:sz w:val="24"/>
          <w:u w:val="single"/>
        </w:rPr>
        <w:t>a způsobů využití pozemků</w:t>
      </w:r>
      <w:r w:rsidR="001D6C36" w:rsidRPr="00887018">
        <w:rPr>
          <w:b/>
          <w:sz w:val="24"/>
          <w:u w:val="single"/>
        </w:rPr>
        <w:t xml:space="preserve"> LV</w:t>
      </w:r>
      <w:r w:rsidR="00E01E0A">
        <w:rPr>
          <w:b/>
          <w:sz w:val="24"/>
          <w:u w:val="single"/>
        </w:rPr>
        <w:t xml:space="preserve"> </w:t>
      </w:r>
      <w:r w:rsidR="001D6C36" w:rsidRPr="00887018">
        <w:rPr>
          <w:b/>
          <w:sz w:val="24"/>
          <w:u w:val="single"/>
        </w:rPr>
        <w:t>1, LV 10001</w:t>
      </w:r>
      <w:r w:rsidR="00887018" w:rsidRPr="00887018">
        <w:rPr>
          <w:b/>
          <w:sz w:val="24"/>
          <w:u w:val="single"/>
        </w:rPr>
        <w:t xml:space="preserve"> v m</w:t>
      </w:r>
      <w:r w:rsidR="00887018" w:rsidRPr="00887018">
        <w:rPr>
          <w:b/>
          <w:sz w:val="24"/>
          <w:u w:val="single"/>
          <w:vertAlign w:val="superscript"/>
        </w:rPr>
        <w:t>2</w:t>
      </w:r>
      <w:r w:rsidR="008739C8">
        <w:rPr>
          <w:noProof/>
        </w:rPr>
        <w:drawing>
          <wp:inline distT="0" distB="0" distL="0" distR="0" wp14:anchorId="6527766A" wp14:editId="35F6A36A">
            <wp:extent cx="5832000" cy="5292000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52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712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060"/>
        <w:gridCol w:w="3460"/>
        <w:gridCol w:w="1060"/>
      </w:tblGrid>
      <w:tr w:rsidR="001F4A83" w:rsidRPr="001F4A83" w:rsidTr="008E11F7">
        <w:trPr>
          <w:trHeight w:val="450"/>
          <w:jc w:val="center"/>
        </w:trPr>
        <w:tc>
          <w:tcPr>
            <w:tcW w:w="1540" w:type="dxa"/>
            <w:tcBorders>
              <w:top w:val="threeDEmboss" w:sz="24" w:space="0" w:color="auto"/>
              <w:left w:val="threeDEmboss" w:sz="2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4A83" w:rsidRPr="001F4A83" w:rsidRDefault="001F4A83" w:rsidP="001F4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A83">
              <w:rPr>
                <w:rFonts w:ascii="Arial" w:hAnsi="Arial" w:cs="Arial"/>
                <w:b/>
                <w:bCs/>
                <w:sz w:val="16"/>
                <w:szCs w:val="16"/>
              </w:rPr>
              <w:t>Druh pozemku</w:t>
            </w:r>
          </w:p>
        </w:tc>
        <w:tc>
          <w:tcPr>
            <w:tcW w:w="1060" w:type="dxa"/>
            <w:tcBorders>
              <w:top w:val="threeDEmboss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4A83" w:rsidRPr="001F4A83" w:rsidRDefault="001F4A83" w:rsidP="001F4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A83">
              <w:rPr>
                <w:rFonts w:ascii="Arial" w:hAnsi="Arial" w:cs="Arial"/>
                <w:b/>
                <w:bCs/>
                <w:sz w:val="16"/>
                <w:szCs w:val="16"/>
              </w:rPr>
              <w:t>Plocha (m</w:t>
            </w:r>
            <w:r w:rsidRPr="001F4A8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1F4A8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60" w:type="dxa"/>
            <w:tcBorders>
              <w:top w:val="threeDEmboss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4A83" w:rsidRPr="001F4A83" w:rsidRDefault="001F4A83" w:rsidP="001F4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A83">
              <w:rPr>
                <w:rFonts w:ascii="Arial" w:hAnsi="Arial" w:cs="Arial"/>
                <w:b/>
                <w:bCs/>
                <w:sz w:val="16"/>
                <w:szCs w:val="16"/>
              </w:rPr>
              <w:t>Způsob využití</w:t>
            </w:r>
          </w:p>
        </w:tc>
        <w:tc>
          <w:tcPr>
            <w:tcW w:w="1060" w:type="dxa"/>
            <w:tcBorders>
              <w:top w:val="threeDEmboss" w:sz="24" w:space="0" w:color="auto"/>
              <w:left w:val="nil"/>
              <w:bottom w:val="thinThickSmallGap" w:sz="24" w:space="0" w:color="auto"/>
              <w:right w:val="threeDEmboss" w:sz="24" w:space="0" w:color="auto"/>
            </w:tcBorders>
            <w:shd w:val="clear" w:color="000000" w:fill="C0C0C0"/>
            <w:noWrap/>
            <w:vAlign w:val="center"/>
            <w:hideMark/>
          </w:tcPr>
          <w:p w:rsidR="001F4A83" w:rsidRPr="001F4A83" w:rsidRDefault="001F4A83" w:rsidP="001F4A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A83">
              <w:rPr>
                <w:rFonts w:ascii="Arial" w:hAnsi="Arial" w:cs="Arial"/>
                <w:b/>
                <w:bCs/>
                <w:sz w:val="16"/>
                <w:szCs w:val="16"/>
              </w:rPr>
              <w:t>Plocha (m</w:t>
            </w:r>
            <w:r w:rsidRPr="001F4A8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1F4A8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tcBorders>
              <w:top w:val="thinThickSmallGap" w:sz="2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Orná půda</w:t>
            </w:r>
          </w:p>
        </w:tc>
        <w:tc>
          <w:tcPr>
            <w:tcW w:w="10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1701FE" w:rsidRDefault="00515E0B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15E0B">
              <w:rPr>
                <w:rFonts w:ascii="Arial" w:hAnsi="Arial" w:cs="Arial"/>
                <w:b/>
                <w:sz w:val="16"/>
                <w:szCs w:val="16"/>
              </w:rPr>
              <w:t>3 437 605</w:t>
            </w:r>
          </w:p>
        </w:tc>
        <w:tc>
          <w:tcPr>
            <w:tcW w:w="452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tcBorders>
              <w:top w:val="nil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Zahrada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515E0B" w:rsidRDefault="00515E0B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15E0B">
              <w:rPr>
                <w:rFonts w:ascii="Arial" w:hAnsi="Arial" w:cs="Arial"/>
                <w:b/>
                <w:sz w:val="16"/>
                <w:szCs w:val="16"/>
              </w:rPr>
              <w:t>417 555</w:t>
            </w:r>
          </w:p>
        </w:tc>
        <w:tc>
          <w:tcPr>
            <w:tcW w:w="4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tcBorders>
              <w:top w:val="nil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Ovocný sad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515E0B" w:rsidRDefault="00694EC6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15E0B">
              <w:rPr>
                <w:rFonts w:ascii="Arial" w:hAnsi="Arial" w:cs="Arial"/>
                <w:b/>
                <w:sz w:val="16"/>
                <w:szCs w:val="16"/>
              </w:rPr>
              <w:t>61 686</w:t>
            </w:r>
          </w:p>
        </w:tc>
        <w:tc>
          <w:tcPr>
            <w:tcW w:w="4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tcBorders>
              <w:top w:val="nil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Trvalý travní porost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515E0B" w:rsidRDefault="00515E0B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15E0B">
              <w:rPr>
                <w:rFonts w:ascii="Arial" w:hAnsi="Arial" w:cs="Arial"/>
                <w:b/>
                <w:sz w:val="16"/>
                <w:szCs w:val="16"/>
              </w:rPr>
              <w:t>1 441 275</w:t>
            </w:r>
          </w:p>
        </w:tc>
        <w:tc>
          <w:tcPr>
            <w:tcW w:w="4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tcBorders>
              <w:top w:val="nil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Lesní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1701FE" w:rsidRDefault="00515E0B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15E0B">
              <w:rPr>
                <w:rFonts w:ascii="Arial" w:hAnsi="Arial" w:cs="Arial"/>
                <w:b/>
                <w:sz w:val="16"/>
                <w:szCs w:val="16"/>
              </w:rPr>
              <w:t>20 131 971</w:t>
            </w:r>
          </w:p>
        </w:tc>
        <w:tc>
          <w:tcPr>
            <w:tcW w:w="4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vMerge w:val="restart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Vodní plocha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515E0B" w:rsidRDefault="00515E0B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15E0B">
              <w:rPr>
                <w:rFonts w:ascii="Arial" w:hAnsi="Arial" w:cs="Arial"/>
                <w:b/>
                <w:sz w:val="16"/>
                <w:szCs w:val="16"/>
              </w:rPr>
              <w:t>1 100 261</w:t>
            </w:r>
          </w:p>
          <w:p w:rsidR="00694EC6" w:rsidRPr="00515E0B" w:rsidRDefault="00694EC6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515E0B" w:rsidRDefault="00F81691" w:rsidP="00705B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694EC6" w:rsidRPr="00515E0B">
              <w:rPr>
                <w:rFonts w:ascii="Arial" w:hAnsi="Arial" w:cs="Arial"/>
                <w:sz w:val="16"/>
                <w:szCs w:val="16"/>
              </w:rPr>
              <w:t>ybník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4EC6">
              <w:rPr>
                <w:rFonts w:ascii="Arial" w:hAnsi="Arial" w:cs="Arial"/>
                <w:b/>
                <w:sz w:val="16"/>
                <w:szCs w:val="16"/>
              </w:rPr>
              <w:t>278 153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C6" w:rsidRPr="00515E0B" w:rsidRDefault="00694EC6" w:rsidP="00694E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515E0B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515E0B">
              <w:rPr>
                <w:rFonts w:ascii="Arial" w:hAnsi="Arial" w:cs="Arial"/>
                <w:sz w:val="16"/>
                <w:szCs w:val="16"/>
              </w:rPr>
              <w:t>koryto vodního toku přirozené nebo upravené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4EC6">
              <w:rPr>
                <w:rFonts w:ascii="Arial" w:hAnsi="Arial" w:cs="Arial"/>
                <w:b/>
                <w:sz w:val="16"/>
                <w:szCs w:val="16"/>
              </w:rPr>
              <w:t>43 696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C6" w:rsidRPr="00515E0B" w:rsidRDefault="00694EC6" w:rsidP="00694E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515E0B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515E0B">
              <w:rPr>
                <w:rFonts w:ascii="Arial" w:hAnsi="Arial" w:cs="Arial"/>
                <w:sz w:val="16"/>
                <w:szCs w:val="16"/>
              </w:rPr>
              <w:t>koryto vodního toku umělé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4EC6">
              <w:rPr>
                <w:rFonts w:ascii="Arial" w:hAnsi="Arial" w:cs="Arial"/>
                <w:b/>
                <w:sz w:val="16"/>
                <w:szCs w:val="16"/>
              </w:rPr>
              <w:t>48 301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C6" w:rsidRPr="001701FE" w:rsidRDefault="00694EC6" w:rsidP="00694E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vodní nádrž přírodní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4EC6">
              <w:rPr>
                <w:rFonts w:ascii="Arial" w:hAnsi="Arial" w:cs="Arial"/>
                <w:b/>
                <w:sz w:val="16"/>
                <w:szCs w:val="16"/>
              </w:rPr>
              <w:t>20 202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C6" w:rsidRPr="001701FE" w:rsidRDefault="00694EC6" w:rsidP="00694E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vodní nádrž umělá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4EC6">
              <w:rPr>
                <w:rFonts w:ascii="Arial" w:hAnsi="Arial" w:cs="Arial"/>
                <w:b/>
                <w:sz w:val="16"/>
                <w:szCs w:val="16"/>
              </w:rPr>
              <w:t>552 016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C6" w:rsidRPr="001701FE" w:rsidRDefault="00694EC6" w:rsidP="00694E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zamokřená plocha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1701FE" w:rsidRPr="00694EC6" w:rsidRDefault="001701FE" w:rsidP="001701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157893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tcBorders>
              <w:top w:val="nil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Zastavěné plochy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515E0B" w:rsidRDefault="00515E0B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15E0B">
              <w:rPr>
                <w:rFonts w:ascii="Arial" w:hAnsi="Arial" w:cs="Arial"/>
                <w:b/>
                <w:sz w:val="16"/>
                <w:szCs w:val="16"/>
              </w:rPr>
              <w:t>819 494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515E0B" w:rsidRDefault="00694EC6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15E0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vMerge w:val="restart"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Ostatní plocha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1701FE" w:rsidRDefault="00515E0B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15E0B">
              <w:rPr>
                <w:rFonts w:ascii="Arial" w:hAnsi="Arial" w:cs="Arial"/>
                <w:b/>
                <w:sz w:val="16"/>
                <w:szCs w:val="16"/>
              </w:rPr>
              <w:t>18 796 737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ostatní komunikace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1701FE" w:rsidRDefault="001701FE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8 160 776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F81691" w:rsidP="00705B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694EC6" w:rsidRPr="00694EC6">
              <w:rPr>
                <w:rFonts w:ascii="Arial" w:hAnsi="Arial" w:cs="Arial"/>
                <w:sz w:val="16"/>
                <w:szCs w:val="16"/>
              </w:rPr>
              <w:t>ráha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1701FE" w:rsidRDefault="00694EC6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701FE">
              <w:rPr>
                <w:rFonts w:ascii="Arial" w:hAnsi="Arial" w:cs="Arial"/>
                <w:b/>
                <w:sz w:val="16"/>
                <w:szCs w:val="16"/>
              </w:rPr>
              <w:t>40 416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silnice, dálnice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1701FE" w:rsidRDefault="001701FE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701FE">
              <w:rPr>
                <w:rFonts w:ascii="Arial" w:hAnsi="Arial" w:cs="Arial"/>
                <w:b/>
                <w:sz w:val="16"/>
                <w:szCs w:val="16"/>
              </w:rPr>
              <w:t>844 327</w:t>
            </w:r>
          </w:p>
        </w:tc>
      </w:tr>
      <w:tr w:rsidR="00694EC6" w:rsidRPr="001701FE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ostatní dopravní plocha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1701FE" w:rsidRDefault="00694EC6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701FE">
              <w:rPr>
                <w:rFonts w:ascii="Arial" w:hAnsi="Arial" w:cs="Arial"/>
                <w:b/>
                <w:sz w:val="16"/>
                <w:szCs w:val="16"/>
              </w:rPr>
              <w:t>15 804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F81691" w:rsidP="00705B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694EC6" w:rsidRPr="00694EC6">
              <w:rPr>
                <w:rFonts w:ascii="Arial" w:hAnsi="Arial" w:cs="Arial"/>
                <w:sz w:val="16"/>
                <w:szCs w:val="16"/>
              </w:rPr>
              <w:t>eleň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1701FE" w:rsidRPr="001701FE" w:rsidRDefault="001701FE" w:rsidP="001701FE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701FE">
              <w:rPr>
                <w:rFonts w:ascii="Arial" w:hAnsi="Arial" w:cs="Arial"/>
                <w:b/>
                <w:sz w:val="16"/>
                <w:szCs w:val="16"/>
              </w:rPr>
              <w:t>5 150 046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sportoviště a rekreační plocha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1701FE" w:rsidRDefault="001701FE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701FE">
              <w:rPr>
                <w:rFonts w:ascii="Arial" w:hAnsi="Arial" w:cs="Arial"/>
                <w:b/>
                <w:sz w:val="16"/>
                <w:szCs w:val="16"/>
              </w:rPr>
              <w:t>668 967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hřbitov, urnový háj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1701FE" w:rsidRDefault="00694EC6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701FE">
              <w:rPr>
                <w:rFonts w:ascii="Arial" w:hAnsi="Arial" w:cs="Arial"/>
                <w:b/>
                <w:sz w:val="16"/>
                <w:szCs w:val="16"/>
              </w:rPr>
              <w:t>326 590</w:t>
            </w:r>
          </w:p>
        </w:tc>
      </w:tr>
      <w:tr w:rsidR="00694EC6" w:rsidRPr="001701FE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manipulační plocha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1701FE" w:rsidRDefault="001701FE" w:rsidP="00716BF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701F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716BFC"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1701FE">
              <w:rPr>
                <w:rFonts w:ascii="Arial" w:hAnsi="Arial" w:cs="Arial"/>
                <w:b/>
                <w:sz w:val="16"/>
                <w:szCs w:val="16"/>
              </w:rPr>
              <w:t xml:space="preserve"> 918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kulturní a osvětová plocha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1701FE" w:rsidRDefault="00694EC6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701FE">
              <w:rPr>
                <w:rFonts w:ascii="Arial" w:hAnsi="Arial" w:cs="Arial"/>
                <w:b/>
                <w:sz w:val="16"/>
                <w:szCs w:val="16"/>
              </w:rPr>
              <w:t>197 170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dobývací prostor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1701FE" w:rsidRDefault="001701FE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701FE">
              <w:rPr>
                <w:rFonts w:ascii="Arial" w:hAnsi="Arial" w:cs="Arial"/>
                <w:b/>
                <w:sz w:val="16"/>
                <w:szCs w:val="16"/>
              </w:rPr>
              <w:t>228 975</w:t>
            </w:r>
          </w:p>
        </w:tc>
      </w:tr>
      <w:tr w:rsidR="00694EC6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jiná plocha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1701FE" w:rsidRDefault="001701FE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701FE">
              <w:rPr>
                <w:rFonts w:ascii="Arial" w:hAnsi="Arial" w:cs="Arial"/>
                <w:b/>
                <w:sz w:val="16"/>
                <w:szCs w:val="16"/>
              </w:rPr>
              <w:t>1 756 087</w:t>
            </w:r>
          </w:p>
        </w:tc>
      </w:tr>
      <w:tr w:rsidR="00694EC6" w:rsidRPr="001701FE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threeDEmboss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C6" w:rsidRPr="00694EC6" w:rsidRDefault="00694EC6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neplodná půda</w:t>
            </w:r>
          </w:p>
        </w:tc>
        <w:tc>
          <w:tcPr>
            <w:tcW w:w="1060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694EC6" w:rsidRPr="001701FE" w:rsidRDefault="001701FE" w:rsidP="001701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701FE">
              <w:rPr>
                <w:rFonts w:ascii="Arial" w:hAnsi="Arial" w:cs="Arial"/>
                <w:b/>
                <w:sz w:val="16"/>
                <w:szCs w:val="16"/>
              </w:rPr>
              <w:t>482 661</w:t>
            </w:r>
          </w:p>
        </w:tc>
      </w:tr>
    </w:tbl>
    <w:p w:rsidR="001F4A83" w:rsidRPr="001F4A83" w:rsidRDefault="001F4A83" w:rsidP="00C527B8">
      <w:pPr>
        <w:ind w:left="426" w:hanging="426"/>
        <w:jc w:val="center"/>
        <w:rPr>
          <w:rFonts w:ascii="Arial" w:hAnsi="Arial" w:cs="Arial"/>
          <w:noProof/>
          <w:sz w:val="16"/>
          <w:szCs w:val="16"/>
        </w:rPr>
      </w:pPr>
    </w:p>
    <w:p w:rsidR="001C2517" w:rsidRDefault="00B414DE" w:rsidP="00AD5E10">
      <w:pPr>
        <w:pStyle w:val="text"/>
        <w:spacing w:before="360"/>
        <w:jc w:val="center"/>
      </w:pPr>
      <w:r>
        <w:rPr>
          <w:noProof/>
        </w:rPr>
        <w:lastRenderedPageBreak/>
        <w:drawing>
          <wp:inline distT="0" distB="0" distL="0" distR="0" wp14:anchorId="70FF0DF2">
            <wp:extent cx="6480000" cy="3646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6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035" w:rsidRPr="009E63D4" w:rsidRDefault="000F4035" w:rsidP="00AD5E10">
      <w:pPr>
        <w:pStyle w:val="text"/>
        <w:spacing w:before="360"/>
        <w:jc w:val="center"/>
      </w:pPr>
    </w:p>
    <w:p w:rsidR="00427E18" w:rsidRPr="00611772" w:rsidRDefault="00427E18" w:rsidP="00427E18">
      <w:pPr>
        <w:pStyle w:val="text"/>
        <w:spacing w:before="360"/>
        <w:rPr>
          <w:b/>
          <w:u w:val="single"/>
        </w:rPr>
      </w:pPr>
      <w:r w:rsidRPr="00990DD7">
        <w:rPr>
          <w:b/>
          <w:u w:val="single"/>
        </w:rPr>
        <w:t xml:space="preserve">2. Přehled </w:t>
      </w:r>
      <w:r w:rsidR="00FD7E7D" w:rsidRPr="00990DD7">
        <w:rPr>
          <w:b/>
          <w:u w:val="single"/>
        </w:rPr>
        <w:t xml:space="preserve">rozsahu </w:t>
      </w:r>
      <w:r w:rsidRPr="00990DD7">
        <w:rPr>
          <w:b/>
          <w:u w:val="single"/>
        </w:rPr>
        <w:t>správy majetku dle jednotlivých městských správců</w:t>
      </w:r>
    </w:p>
    <w:p w:rsidR="00C77802" w:rsidRPr="003B6213" w:rsidRDefault="007B0711" w:rsidP="00EB4D6B">
      <w:pPr>
        <w:ind w:left="426" w:hanging="426"/>
        <w:jc w:val="center"/>
      </w:pPr>
      <w:r>
        <w:rPr>
          <w:noProof/>
        </w:rPr>
        <w:drawing>
          <wp:inline distT="0" distB="0" distL="0" distR="0" wp14:anchorId="7189109B">
            <wp:extent cx="5079600" cy="4334400"/>
            <wp:effectExtent l="0" t="0" r="698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00" cy="433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A99" w:rsidRDefault="00440A99" w:rsidP="00C77802">
      <w:pPr>
        <w:ind w:left="426" w:hanging="426"/>
        <w:jc w:val="center"/>
      </w:pPr>
    </w:p>
    <w:p w:rsidR="00EB54CE" w:rsidRPr="00965A58" w:rsidRDefault="00EB54CE" w:rsidP="00965A58">
      <w:pPr>
        <w:jc w:val="both"/>
        <w:rPr>
          <w:sz w:val="24"/>
          <w:szCs w:val="24"/>
        </w:rPr>
      </w:pPr>
      <w:r w:rsidRPr="00965A58">
        <w:rPr>
          <w:sz w:val="24"/>
          <w:szCs w:val="24"/>
        </w:rPr>
        <w:lastRenderedPageBreak/>
        <w:t xml:space="preserve">Veškerý </w:t>
      </w:r>
      <w:r w:rsidR="00BC79CD" w:rsidRPr="00965A58">
        <w:rPr>
          <w:sz w:val="24"/>
          <w:szCs w:val="24"/>
        </w:rPr>
        <w:t xml:space="preserve">nemovitý </w:t>
      </w:r>
      <w:r w:rsidRPr="00965A58">
        <w:rPr>
          <w:sz w:val="24"/>
          <w:szCs w:val="24"/>
        </w:rPr>
        <w:t>majetek statutárního města Plzně je v souladu s příslušným ustanovením Statutu a</w:t>
      </w:r>
      <w:r w:rsidR="00D84281">
        <w:rPr>
          <w:sz w:val="24"/>
          <w:szCs w:val="24"/>
        </w:rPr>
        <w:t> </w:t>
      </w:r>
      <w:r w:rsidRPr="00965A58">
        <w:rPr>
          <w:sz w:val="24"/>
          <w:szCs w:val="24"/>
        </w:rPr>
        <w:t>směrnicemi upravujícími nakládání s majetkem svěřován do správy jednotlivým správců</w:t>
      </w:r>
      <w:r w:rsidR="00FD7E7D">
        <w:rPr>
          <w:sz w:val="24"/>
          <w:szCs w:val="24"/>
        </w:rPr>
        <w:t>m</w:t>
      </w:r>
      <w:r w:rsidRPr="00965A58">
        <w:rPr>
          <w:sz w:val="24"/>
          <w:szCs w:val="24"/>
        </w:rPr>
        <w:t xml:space="preserve"> městského majetku, jimiž mohou být:</w:t>
      </w:r>
    </w:p>
    <w:p w:rsidR="00EB54CE" w:rsidRPr="00965A58" w:rsidRDefault="00EB54CE" w:rsidP="002D5DC8">
      <w:pPr>
        <w:numPr>
          <w:ilvl w:val="0"/>
          <w:numId w:val="8"/>
        </w:numPr>
        <w:tabs>
          <w:tab w:val="clear" w:pos="720"/>
        </w:tabs>
        <w:spacing w:before="240"/>
        <w:ind w:left="425" w:hanging="357"/>
        <w:jc w:val="both"/>
        <w:rPr>
          <w:sz w:val="24"/>
          <w:szCs w:val="24"/>
        </w:rPr>
      </w:pPr>
      <w:r w:rsidRPr="00965A58">
        <w:rPr>
          <w:sz w:val="24"/>
          <w:szCs w:val="24"/>
        </w:rPr>
        <w:t xml:space="preserve">Městské obvody, </w:t>
      </w:r>
      <w:r w:rsidR="00FD7E7D">
        <w:rPr>
          <w:sz w:val="24"/>
          <w:szCs w:val="24"/>
        </w:rPr>
        <w:t>kterým</w:t>
      </w:r>
      <w:r w:rsidR="00FD7E7D" w:rsidRPr="00965A58">
        <w:rPr>
          <w:sz w:val="24"/>
          <w:szCs w:val="24"/>
        </w:rPr>
        <w:t xml:space="preserve"> </w:t>
      </w:r>
      <w:r w:rsidRPr="00965A58">
        <w:rPr>
          <w:sz w:val="24"/>
          <w:szCs w:val="24"/>
        </w:rPr>
        <w:t>je majetek svěřován do trvalé správy veden</w:t>
      </w:r>
      <w:r w:rsidR="00FD7E7D">
        <w:rPr>
          <w:sz w:val="24"/>
          <w:szCs w:val="24"/>
        </w:rPr>
        <w:t>é</w:t>
      </w:r>
      <w:r w:rsidRPr="00965A58">
        <w:rPr>
          <w:sz w:val="24"/>
          <w:szCs w:val="24"/>
        </w:rPr>
        <w:t xml:space="preserve"> v Příloze </w:t>
      </w:r>
      <w:proofErr w:type="gramStart"/>
      <w:r w:rsidRPr="00965A58">
        <w:rPr>
          <w:sz w:val="24"/>
          <w:szCs w:val="24"/>
        </w:rPr>
        <w:t>č. 3 Statutu</w:t>
      </w:r>
      <w:proofErr w:type="gramEnd"/>
      <w:r w:rsidRPr="00965A58">
        <w:rPr>
          <w:sz w:val="24"/>
          <w:szCs w:val="24"/>
        </w:rPr>
        <w:t xml:space="preserve"> města Plzně</w:t>
      </w:r>
    </w:p>
    <w:p w:rsidR="00EB54CE" w:rsidRPr="00965A58" w:rsidRDefault="00EB54CE" w:rsidP="002D5DC8">
      <w:pPr>
        <w:numPr>
          <w:ilvl w:val="0"/>
          <w:numId w:val="11"/>
        </w:numPr>
        <w:tabs>
          <w:tab w:val="clear" w:pos="1080"/>
          <w:tab w:val="num" w:pos="426"/>
        </w:tabs>
        <w:spacing w:before="240"/>
        <w:ind w:left="425" w:hanging="357"/>
        <w:jc w:val="both"/>
        <w:rPr>
          <w:sz w:val="24"/>
          <w:szCs w:val="24"/>
        </w:rPr>
      </w:pPr>
      <w:r w:rsidRPr="00965A58">
        <w:rPr>
          <w:sz w:val="24"/>
          <w:szCs w:val="24"/>
        </w:rPr>
        <w:t>Příspěvkové organizace</w:t>
      </w:r>
    </w:p>
    <w:p w:rsidR="00481FE4" w:rsidRPr="002E15BB" w:rsidRDefault="00481FE4" w:rsidP="002D5DC8">
      <w:pPr>
        <w:spacing w:before="240"/>
        <w:ind w:left="567"/>
        <w:rPr>
          <w:i/>
          <w:sz w:val="24"/>
          <w:szCs w:val="24"/>
        </w:rPr>
      </w:pPr>
      <w:r w:rsidRPr="002E15BB">
        <w:rPr>
          <w:i/>
          <w:sz w:val="24"/>
          <w:szCs w:val="24"/>
        </w:rPr>
        <w:t xml:space="preserve">v působnosti </w:t>
      </w:r>
      <w:r>
        <w:rPr>
          <w:i/>
          <w:sz w:val="24"/>
          <w:szCs w:val="24"/>
        </w:rPr>
        <w:t>KPRIM</w:t>
      </w:r>
      <w:r w:rsidRPr="002E15BB">
        <w:rPr>
          <w:i/>
          <w:sz w:val="24"/>
          <w:szCs w:val="24"/>
        </w:rPr>
        <w:t xml:space="preserve"> :</w:t>
      </w:r>
    </w:p>
    <w:p w:rsidR="00481FE4" w:rsidRPr="002E15BB" w:rsidRDefault="00481FE4" w:rsidP="001857CC">
      <w:pPr>
        <w:numPr>
          <w:ilvl w:val="1"/>
          <w:numId w:val="16"/>
        </w:numPr>
        <w:spacing w:before="240"/>
        <w:ind w:left="1434" w:hanging="357"/>
        <w:rPr>
          <w:sz w:val="24"/>
          <w:szCs w:val="24"/>
        </w:rPr>
      </w:pPr>
      <w:r>
        <w:rPr>
          <w:sz w:val="24"/>
          <w:szCs w:val="24"/>
        </w:rPr>
        <w:t>Útvar koordinace evropských projektů</w:t>
      </w:r>
    </w:p>
    <w:p w:rsidR="00EB54CE" w:rsidRPr="002E15BB" w:rsidRDefault="00965A58" w:rsidP="002D5DC8">
      <w:pPr>
        <w:spacing w:before="240"/>
        <w:ind w:left="567"/>
        <w:rPr>
          <w:i/>
          <w:sz w:val="24"/>
          <w:szCs w:val="24"/>
        </w:rPr>
      </w:pPr>
      <w:r w:rsidRPr="002E15BB">
        <w:rPr>
          <w:i/>
          <w:sz w:val="24"/>
          <w:szCs w:val="24"/>
        </w:rPr>
        <w:t>v</w:t>
      </w:r>
      <w:r w:rsidR="00EB54CE" w:rsidRPr="002E15BB">
        <w:rPr>
          <w:i/>
          <w:sz w:val="24"/>
          <w:szCs w:val="24"/>
        </w:rPr>
        <w:t> působnosti KŘTÚ</w:t>
      </w:r>
      <w:r w:rsidRPr="002E15BB">
        <w:rPr>
          <w:i/>
          <w:sz w:val="24"/>
          <w:szCs w:val="24"/>
        </w:rPr>
        <w:t xml:space="preserve"> :</w:t>
      </w:r>
    </w:p>
    <w:p w:rsidR="00965A58" w:rsidRPr="002E15BB" w:rsidRDefault="00965A58" w:rsidP="00BD0A44">
      <w:pPr>
        <w:numPr>
          <w:ilvl w:val="1"/>
          <w:numId w:val="16"/>
        </w:numPr>
        <w:spacing w:before="240" w:line="360" w:lineRule="auto"/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Správa veřejného statku města Plzně</w:t>
      </w:r>
    </w:p>
    <w:p w:rsidR="00965A58" w:rsidRPr="002E15BB" w:rsidRDefault="00965A58" w:rsidP="00BD0A44">
      <w:pPr>
        <w:numPr>
          <w:ilvl w:val="1"/>
          <w:numId w:val="16"/>
        </w:numPr>
        <w:spacing w:before="120" w:line="360" w:lineRule="auto"/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Útvar koncepce a rozvoje města Plzně</w:t>
      </w:r>
    </w:p>
    <w:p w:rsidR="00965A58" w:rsidRPr="002E15BB" w:rsidRDefault="00965A58" w:rsidP="00BD0A44">
      <w:pPr>
        <w:numPr>
          <w:ilvl w:val="1"/>
          <w:numId w:val="16"/>
        </w:numPr>
        <w:spacing w:before="120" w:line="360" w:lineRule="auto"/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 xml:space="preserve">Správa </w:t>
      </w:r>
      <w:r w:rsidR="0074475B">
        <w:rPr>
          <w:sz w:val="24"/>
          <w:szCs w:val="24"/>
        </w:rPr>
        <w:t>i</w:t>
      </w:r>
      <w:r w:rsidRPr="002E15BB">
        <w:rPr>
          <w:sz w:val="24"/>
          <w:szCs w:val="24"/>
        </w:rPr>
        <w:t>nformačních technologií města Plzně</w:t>
      </w:r>
    </w:p>
    <w:p w:rsidR="00965A58" w:rsidRDefault="00965A58" w:rsidP="002D5DC8">
      <w:pPr>
        <w:spacing w:before="240"/>
        <w:ind w:left="567"/>
        <w:rPr>
          <w:sz w:val="24"/>
          <w:szCs w:val="24"/>
        </w:rPr>
      </w:pPr>
      <w:r w:rsidRPr="002E15BB">
        <w:rPr>
          <w:i/>
          <w:sz w:val="24"/>
          <w:szCs w:val="24"/>
        </w:rPr>
        <w:t xml:space="preserve">v působnosti </w:t>
      </w:r>
      <w:proofErr w:type="gramStart"/>
      <w:r w:rsidRPr="002E15BB">
        <w:rPr>
          <w:i/>
          <w:sz w:val="24"/>
          <w:szCs w:val="24"/>
        </w:rPr>
        <w:t>ÚSO</w:t>
      </w:r>
      <w:r>
        <w:rPr>
          <w:sz w:val="24"/>
          <w:szCs w:val="24"/>
        </w:rPr>
        <w:t xml:space="preserve"> :</w:t>
      </w:r>
      <w:proofErr w:type="gramEnd"/>
    </w:p>
    <w:p w:rsidR="00EB54CE" w:rsidRPr="00965A58" w:rsidRDefault="00EB54CE" w:rsidP="002D5DC8">
      <w:pPr>
        <w:autoSpaceDE w:val="0"/>
        <w:autoSpaceDN w:val="0"/>
        <w:adjustRightInd w:val="0"/>
        <w:spacing w:before="240"/>
        <w:ind w:left="993" w:hanging="142"/>
        <w:jc w:val="both"/>
        <w:rPr>
          <w:sz w:val="24"/>
          <w:szCs w:val="24"/>
          <w:u w:val="single"/>
        </w:rPr>
      </w:pPr>
      <w:r w:rsidRPr="002E15BB">
        <w:rPr>
          <w:i/>
          <w:sz w:val="24"/>
          <w:szCs w:val="24"/>
        </w:rPr>
        <w:t>OŠMT</w:t>
      </w:r>
      <w:r w:rsidRPr="00965A58">
        <w:rPr>
          <w:sz w:val="24"/>
          <w:szCs w:val="24"/>
        </w:rPr>
        <w:t xml:space="preserve"> - plní funkci výkonného a poradního orgánu RMP v oblasti plnění jejích úkolů zřizovatele u základních škol a školních jídelen s právní subjektivitou zřízených městem Plzní. </w:t>
      </w:r>
    </w:p>
    <w:p w:rsidR="00EB54CE" w:rsidRPr="00965A58" w:rsidRDefault="00EB54CE" w:rsidP="002D5DC8">
      <w:pPr>
        <w:autoSpaceDE w:val="0"/>
        <w:autoSpaceDN w:val="0"/>
        <w:adjustRightInd w:val="0"/>
        <w:spacing w:before="240"/>
        <w:ind w:left="993" w:hanging="142"/>
        <w:jc w:val="both"/>
        <w:rPr>
          <w:sz w:val="24"/>
          <w:szCs w:val="24"/>
          <w:u w:val="single"/>
        </w:rPr>
      </w:pPr>
      <w:r w:rsidRPr="002E15BB">
        <w:rPr>
          <w:i/>
          <w:sz w:val="24"/>
          <w:szCs w:val="24"/>
        </w:rPr>
        <w:t>KŘÚSO</w:t>
      </w:r>
      <w:r w:rsidRPr="002E15BB">
        <w:rPr>
          <w:sz w:val="24"/>
          <w:szCs w:val="24"/>
        </w:rPr>
        <w:t xml:space="preserve"> </w:t>
      </w:r>
      <w:r w:rsidRPr="00965A58">
        <w:rPr>
          <w:sz w:val="24"/>
          <w:szCs w:val="24"/>
        </w:rPr>
        <w:t xml:space="preserve">- plní funkci výkonného a poradního orgánu RMP v oblasti plnění jejích úkolů zřizovatele u těchto příspěvkových organizací: </w:t>
      </w:r>
    </w:p>
    <w:p w:rsidR="00EB54CE" w:rsidRPr="002E15BB" w:rsidRDefault="008B5925" w:rsidP="00BD0A44">
      <w:pPr>
        <w:numPr>
          <w:ilvl w:val="1"/>
          <w:numId w:val="16"/>
        </w:numPr>
        <w:spacing w:before="240" w:line="36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Dětské centrum Plzeň</w:t>
      </w:r>
    </w:p>
    <w:p w:rsidR="00EB54CE" w:rsidRPr="002E15BB" w:rsidRDefault="00EB54CE" w:rsidP="00BD0A44">
      <w:pPr>
        <w:numPr>
          <w:ilvl w:val="1"/>
          <w:numId w:val="16"/>
        </w:numPr>
        <w:spacing w:before="120" w:line="360" w:lineRule="auto"/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Správa hřbitovů a krematoria města Plzně</w:t>
      </w:r>
    </w:p>
    <w:p w:rsidR="00EB54CE" w:rsidRPr="002E15BB" w:rsidRDefault="00EB54CE" w:rsidP="00BD0A44">
      <w:pPr>
        <w:numPr>
          <w:ilvl w:val="1"/>
          <w:numId w:val="16"/>
        </w:numPr>
        <w:spacing w:before="120" w:line="360" w:lineRule="auto"/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Městský ústav sociálních služeb města Plzně</w:t>
      </w:r>
    </w:p>
    <w:p w:rsidR="00EB54CE" w:rsidRPr="002E15BB" w:rsidRDefault="00EB54CE" w:rsidP="00BD0A44">
      <w:pPr>
        <w:numPr>
          <w:ilvl w:val="1"/>
          <w:numId w:val="16"/>
        </w:numPr>
        <w:spacing w:before="120" w:line="360" w:lineRule="auto"/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Divadlo Josefa Kajetána Tyla</w:t>
      </w:r>
    </w:p>
    <w:p w:rsidR="00EB54CE" w:rsidRPr="002E15BB" w:rsidRDefault="00EB54CE" w:rsidP="00BD0A44">
      <w:pPr>
        <w:numPr>
          <w:ilvl w:val="1"/>
          <w:numId w:val="16"/>
        </w:numPr>
        <w:spacing w:before="120" w:line="360" w:lineRule="auto"/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Divadlo ALFA</w:t>
      </w:r>
    </w:p>
    <w:p w:rsidR="00EB54CE" w:rsidRPr="00494013" w:rsidRDefault="00494013" w:rsidP="00BD0A44">
      <w:pPr>
        <w:numPr>
          <w:ilvl w:val="1"/>
          <w:numId w:val="16"/>
        </w:numPr>
        <w:spacing w:before="120" w:line="360" w:lineRule="auto"/>
        <w:ind w:left="1434" w:hanging="357"/>
        <w:rPr>
          <w:sz w:val="24"/>
          <w:szCs w:val="24"/>
        </w:rPr>
      </w:pPr>
      <w:r w:rsidRPr="00494013">
        <w:rPr>
          <w:sz w:val="24"/>
          <w:szCs w:val="24"/>
        </w:rPr>
        <w:t>Plzeň – TURISMUS</w:t>
      </w:r>
    </w:p>
    <w:p w:rsidR="00EB54CE" w:rsidRPr="002E15BB" w:rsidRDefault="00EB54CE" w:rsidP="00BD0A44">
      <w:pPr>
        <w:numPr>
          <w:ilvl w:val="1"/>
          <w:numId w:val="16"/>
        </w:numPr>
        <w:spacing w:before="120" w:line="360" w:lineRule="auto"/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Knihovna města Plzně</w:t>
      </w:r>
    </w:p>
    <w:p w:rsidR="00EB54CE" w:rsidRPr="002E15BB" w:rsidRDefault="00EB54CE" w:rsidP="00BD0A44">
      <w:pPr>
        <w:numPr>
          <w:ilvl w:val="1"/>
          <w:numId w:val="16"/>
        </w:numPr>
        <w:spacing w:before="120" w:line="360" w:lineRule="auto"/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Zoologická a botanická zahrada města Plzně</w:t>
      </w:r>
    </w:p>
    <w:p w:rsidR="00BC79CD" w:rsidRPr="00965A58" w:rsidRDefault="00BC79CD" w:rsidP="002D5DC8">
      <w:pPr>
        <w:numPr>
          <w:ilvl w:val="0"/>
          <w:numId w:val="11"/>
        </w:numPr>
        <w:tabs>
          <w:tab w:val="clear" w:pos="1080"/>
          <w:tab w:val="num" w:pos="426"/>
        </w:tabs>
        <w:spacing w:before="240"/>
        <w:ind w:left="425" w:hanging="357"/>
        <w:jc w:val="both"/>
        <w:rPr>
          <w:sz w:val="24"/>
          <w:szCs w:val="24"/>
        </w:rPr>
      </w:pPr>
      <w:r w:rsidRPr="00965A58">
        <w:rPr>
          <w:sz w:val="24"/>
          <w:szCs w:val="24"/>
        </w:rPr>
        <w:t>Jednotlivé odbory MMP – odbor správy infrastruktury, odbor krizového řízení, odbor vnitřní správy, odbor školství mládeže a tělovýchovy, atd.</w:t>
      </w:r>
    </w:p>
    <w:p w:rsidR="00EB54CE" w:rsidRPr="00965A58" w:rsidRDefault="00BC79CD" w:rsidP="002D5DC8">
      <w:pPr>
        <w:numPr>
          <w:ilvl w:val="0"/>
          <w:numId w:val="11"/>
        </w:numPr>
        <w:tabs>
          <w:tab w:val="clear" w:pos="1080"/>
          <w:tab w:val="num" w:pos="426"/>
        </w:tabs>
        <w:spacing w:before="240"/>
        <w:ind w:left="425" w:hanging="357"/>
        <w:jc w:val="both"/>
        <w:rPr>
          <w:sz w:val="24"/>
          <w:szCs w:val="24"/>
        </w:rPr>
      </w:pPr>
      <w:r w:rsidRPr="00965A58">
        <w:rPr>
          <w:sz w:val="24"/>
          <w:szCs w:val="24"/>
        </w:rPr>
        <w:t>Jiné právní subjekty na základě uzavřených smluvních vztahů – Obytná zóna Sylván a.s. mandátní správce bytového a nebytového fondu</w:t>
      </w:r>
      <w:r w:rsidR="006B5CF9">
        <w:rPr>
          <w:sz w:val="24"/>
          <w:szCs w:val="24"/>
        </w:rPr>
        <w:t xml:space="preserve">, VTP a.s. smluvní správce areálu </w:t>
      </w:r>
      <w:proofErr w:type="spellStart"/>
      <w:r w:rsidR="006B5CF9">
        <w:rPr>
          <w:sz w:val="24"/>
          <w:szCs w:val="24"/>
        </w:rPr>
        <w:t>Vědecko</w:t>
      </w:r>
      <w:proofErr w:type="spellEnd"/>
      <w:r w:rsidR="006B5CF9">
        <w:rPr>
          <w:sz w:val="24"/>
          <w:szCs w:val="24"/>
        </w:rPr>
        <w:t xml:space="preserve"> technologický park.</w:t>
      </w:r>
    </w:p>
    <w:p w:rsidR="00440A99" w:rsidRPr="003B6213" w:rsidRDefault="009C2B2D" w:rsidP="00C77802">
      <w:pPr>
        <w:ind w:left="426" w:hanging="426"/>
        <w:jc w:val="center"/>
      </w:pPr>
      <w:r>
        <w:rPr>
          <w:noProof/>
        </w:rPr>
        <w:lastRenderedPageBreak/>
        <w:drawing>
          <wp:inline distT="0" distB="0" distL="0" distR="0" wp14:anchorId="65F68518">
            <wp:extent cx="5053965" cy="432879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32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E18" w:rsidRPr="00432803" w:rsidRDefault="00427E18" w:rsidP="00427E18">
      <w:pPr>
        <w:pStyle w:val="text"/>
        <w:spacing w:before="360"/>
        <w:rPr>
          <w:b/>
          <w:u w:val="single"/>
        </w:rPr>
      </w:pPr>
      <w:r w:rsidRPr="00FF1473">
        <w:rPr>
          <w:b/>
          <w:u w:val="single"/>
        </w:rPr>
        <w:t xml:space="preserve">3. </w:t>
      </w:r>
      <w:r w:rsidR="0074475B">
        <w:rPr>
          <w:b/>
          <w:u w:val="single"/>
        </w:rPr>
        <w:t>Změny v KN ovlivňující celá katastrální území</w:t>
      </w:r>
    </w:p>
    <w:p w:rsidR="00E828B4" w:rsidRDefault="00E828B4">
      <w:pPr>
        <w:pStyle w:val="Zkladntextodsazen2"/>
        <w:ind w:left="709" w:firstLine="0"/>
        <w:jc w:val="both"/>
        <w:rPr>
          <w:rFonts w:ascii="Times New Roman" w:hAnsi="Times New Roman"/>
        </w:rPr>
      </w:pPr>
    </w:p>
    <w:p w:rsidR="00494013" w:rsidRPr="00ED7ECD" w:rsidRDefault="00427E18" w:rsidP="00427E18">
      <w:pPr>
        <w:pStyle w:val="Zkladntextodsazen2"/>
        <w:jc w:val="both"/>
        <w:rPr>
          <w:rFonts w:ascii="Times New Roman" w:hAnsi="Times New Roman"/>
          <w:i/>
        </w:rPr>
      </w:pPr>
      <w:r w:rsidRPr="00ED7ECD">
        <w:rPr>
          <w:rFonts w:ascii="Times New Roman" w:hAnsi="Times New Roman"/>
          <w:i/>
        </w:rPr>
        <w:t xml:space="preserve">Katastrální úřad provádí postupně </w:t>
      </w:r>
      <w:r w:rsidR="00015D3C" w:rsidRPr="00ED7ECD">
        <w:rPr>
          <w:rFonts w:ascii="Times New Roman" w:hAnsi="Times New Roman"/>
          <w:i/>
        </w:rPr>
        <w:t>obnovu operátu (též označována jako digitalizace)</w:t>
      </w:r>
      <w:r w:rsidRPr="00ED7ECD">
        <w:rPr>
          <w:rFonts w:ascii="Times New Roman" w:hAnsi="Times New Roman"/>
          <w:i/>
        </w:rPr>
        <w:t xml:space="preserve"> jednotlivých katastrálních území, přičemž během loňského roku proběhla </w:t>
      </w:r>
      <w:r w:rsidR="00CB5EE3" w:rsidRPr="00ED7ECD">
        <w:rPr>
          <w:rFonts w:ascii="Times New Roman" w:hAnsi="Times New Roman"/>
          <w:i/>
        </w:rPr>
        <w:t>mimo území statutárního města Plzně obnova operátu v katastrální</w:t>
      </w:r>
      <w:r w:rsidR="001B7E48" w:rsidRPr="00ED7ECD">
        <w:rPr>
          <w:rFonts w:ascii="Times New Roman" w:hAnsi="Times New Roman"/>
          <w:i/>
        </w:rPr>
        <w:t>m</w:t>
      </w:r>
      <w:r w:rsidR="00CB5EE3" w:rsidRPr="00ED7ECD">
        <w:rPr>
          <w:rFonts w:ascii="Times New Roman" w:hAnsi="Times New Roman"/>
          <w:i/>
        </w:rPr>
        <w:t xml:space="preserve"> území – </w:t>
      </w:r>
      <w:r w:rsidR="00ED7ECD" w:rsidRPr="00ED7ECD">
        <w:rPr>
          <w:rFonts w:ascii="Times New Roman" w:hAnsi="Times New Roman"/>
          <w:i/>
        </w:rPr>
        <w:t>Horská Kvilda</w:t>
      </w:r>
      <w:r w:rsidR="0017618B" w:rsidRPr="00ED7ECD">
        <w:rPr>
          <w:rFonts w:ascii="Times New Roman" w:hAnsi="Times New Roman"/>
          <w:i/>
        </w:rPr>
        <w:t xml:space="preserve"> </w:t>
      </w:r>
      <w:r w:rsidR="00ED7ECD" w:rsidRPr="00ED7ECD">
        <w:rPr>
          <w:rFonts w:ascii="Times New Roman" w:hAnsi="Times New Roman"/>
          <w:i/>
        </w:rPr>
        <w:t>(</w:t>
      </w:r>
      <w:proofErr w:type="gramStart"/>
      <w:r w:rsidR="00ED7ECD" w:rsidRPr="00ED7ECD">
        <w:rPr>
          <w:rFonts w:ascii="Times New Roman" w:hAnsi="Times New Roman"/>
          <w:i/>
        </w:rPr>
        <w:t xml:space="preserve">část) </w:t>
      </w:r>
      <w:r w:rsidR="0017618B" w:rsidRPr="00ED7ECD">
        <w:rPr>
          <w:rFonts w:ascii="Times New Roman" w:hAnsi="Times New Roman"/>
          <w:i/>
        </w:rPr>
        <w:t>(přepracováním</w:t>
      </w:r>
      <w:proofErr w:type="gramEnd"/>
      <w:r w:rsidR="0017618B" w:rsidRPr="00ED7ECD">
        <w:rPr>
          <w:rFonts w:ascii="Times New Roman" w:hAnsi="Times New Roman"/>
          <w:i/>
        </w:rPr>
        <w:t xml:space="preserve"> v S-</w:t>
      </w:r>
      <w:r w:rsidR="00ED7ECD" w:rsidRPr="00ED7ECD">
        <w:rPr>
          <w:rFonts w:ascii="Times New Roman" w:hAnsi="Times New Roman"/>
          <w:i/>
        </w:rPr>
        <w:t>SK</w:t>
      </w:r>
      <w:r w:rsidR="0017618B" w:rsidRPr="00ED7ECD">
        <w:rPr>
          <w:rFonts w:ascii="Times New Roman" w:hAnsi="Times New Roman"/>
          <w:i/>
        </w:rPr>
        <w:t xml:space="preserve">), </w:t>
      </w:r>
      <w:r w:rsidR="00ED7ECD" w:rsidRPr="00ED7ECD">
        <w:rPr>
          <w:rFonts w:ascii="Times New Roman" w:hAnsi="Times New Roman"/>
          <w:i/>
        </w:rPr>
        <w:t>Chotěšov (část)</w:t>
      </w:r>
      <w:r w:rsidR="00BC1AE5" w:rsidRPr="00ED7ECD">
        <w:rPr>
          <w:rFonts w:ascii="Times New Roman" w:hAnsi="Times New Roman"/>
          <w:i/>
        </w:rPr>
        <w:t xml:space="preserve"> (</w:t>
      </w:r>
      <w:r w:rsidR="00AD7C04" w:rsidRPr="00ED7ECD">
        <w:rPr>
          <w:rFonts w:ascii="Times New Roman" w:hAnsi="Times New Roman"/>
          <w:i/>
        </w:rPr>
        <w:t>přepracováním v S-JTKS</w:t>
      </w:r>
      <w:r w:rsidR="00BC1AE5" w:rsidRPr="00ED7ECD">
        <w:rPr>
          <w:rFonts w:ascii="Times New Roman" w:hAnsi="Times New Roman"/>
          <w:i/>
        </w:rPr>
        <w:t>)</w:t>
      </w:r>
      <w:r w:rsidR="00FE3610" w:rsidRPr="00ED7ECD">
        <w:rPr>
          <w:rFonts w:ascii="Times New Roman" w:hAnsi="Times New Roman"/>
          <w:i/>
        </w:rPr>
        <w:t xml:space="preserve">, </w:t>
      </w:r>
      <w:proofErr w:type="spellStart"/>
      <w:r w:rsidR="00ED7ECD" w:rsidRPr="00ED7ECD">
        <w:rPr>
          <w:rFonts w:ascii="Times New Roman" w:hAnsi="Times New Roman"/>
          <w:i/>
        </w:rPr>
        <w:t>Šlovice</w:t>
      </w:r>
      <w:proofErr w:type="spellEnd"/>
      <w:r w:rsidR="00ED7ECD" w:rsidRPr="00ED7ECD">
        <w:rPr>
          <w:rFonts w:ascii="Times New Roman" w:hAnsi="Times New Roman"/>
          <w:i/>
        </w:rPr>
        <w:t xml:space="preserve"> u Plzně</w:t>
      </w:r>
      <w:r w:rsidR="00B44969" w:rsidRPr="00ED7ECD">
        <w:rPr>
          <w:rFonts w:ascii="Times New Roman" w:hAnsi="Times New Roman"/>
          <w:i/>
        </w:rPr>
        <w:t xml:space="preserve"> </w:t>
      </w:r>
      <w:r w:rsidR="00772E6B" w:rsidRPr="00ED7ECD">
        <w:rPr>
          <w:rFonts w:ascii="Times New Roman" w:hAnsi="Times New Roman"/>
          <w:i/>
        </w:rPr>
        <w:t>(</w:t>
      </w:r>
      <w:r w:rsidR="00B44969" w:rsidRPr="00ED7ECD">
        <w:rPr>
          <w:rFonts w:ascii="Times New Roman" w:hAnsi="Times New Roman"/>
          <w:i/>
        </w:rPr>
        <w:t>přepracováním v S-JTKS</w:t>
      </w:r>
      <w:r w:rsidR="00772E6B" w:rsidRPr="00ED7ECD">
        <w:rPr>
          <w:rFonts w:ascii="Times New Roman" w:hAnsi="Times New Roman"/>
          <w:i/>
        </w:rPr>
        <w:t xml:space="preserve">), </w:t>
      </w:r>
      <w:r w:rsidR="00ED7ECD" w:rsidRPr="00ED7ECD">
        <w:rPr>
          <w:rFonts w:ascii="Times New Roman" w:hAnsi="Times New Roman"/>
          <w:i/>
        </w:rPr>
        <w:t>Šťáhlavice (část)</w:t>
      </w:r>
      <w:r w:rsidR="00BC1AE5" w:rsidRPr="00ED7ECD">
        <w:rPr>
          <w:rFonts w:ascii="Times New Roman" w:hAnsi="Times New Roman"/>
          <w:i/>
        </w:rPr>
        <w:t xml:space="preserve"> (</w:t>
      </w:r>
      <w:r w:rsidR="00ED7ECD" w:rsidRPr="00ED7ECD">
        <w:rPr>
          <w:rFonts w:ascii="Times New Roman" w:hAnsi="Times New Roman"/>
          <w:i/>
        </w:rPr>
        <w:t>pozemkovou úpravou</w:t>
      </w:r>
      <w:r w:rsidR="00BC1AE5" w:rsidRPr="00ED7ECD">
        <w:rPr>
          <w:rFonts w:ascii="Times New Roman" w:hAnsi="Times New Roman"/>
          <w:i/>
        </w:rPr>
        <w:t>)</w:t>
      </w:r>
      <w:r w:rsidR="00772E6B" w:rsidRPr="00ED7ECD">
        <w:rPr>
          <w:rFonts w:ascii="Times New Roman" w:hAnsi="Times New Roman"/>
          <w:i/>
        </w:rPr>
        <w:t xml:space="preserve">, </w:t>
      </w:r>
      <w:r w:rsidR="00ED7ECD" w:rsidRPr="00ED7ECD">
        <w:rPr>
          <w:rFonts w:ascii="Times New Roman" w:hAnsi="Times New Roman"/>
          <w:i/>
        </w:rPr>
        <w:t>Dolany u Plzně</w:t>
      </w:r>
      <w:r w:rsidR="00772E6B" w:rsidRPr="00ED7ECD">
        <w:rPr>
          <w:rFonts w:ascii="Times New Roman" w:hAnsi="Times New Roman"/>
          <w:i/>
        </w:rPr>
        <w:t xml:space="preserve"> </w:t>
      </w:r>
      <w:r w:rsidR="00BC1AE5" w:rsidRPr="00ED7ECD">
        <w:rPr>
          <w:rFonts w:ascii="Times New Roman" w:hAnsi="Times New Roman"/>
          <w:i/>
        </w:rPr>
        <w:t>(</w:t>
      </w:r>
      <w:r w:rsidR="00B44969" w:rsidRPr="00ED7ECD">
        <w:rPr>
          <w:rFonts w:ascii="Times New Roman" w:hAnsi="Times New Roman"/>
          <w:i/>
        </w:rPr>
        <w:t xml:space="preserve">přepracováním v S-JTKS, </w:t>
      </w:r>
      <w:r w:rsidR="00ED7ECD" w:rsidRPr="00ED7ECD">
        <w:rPr>
          <w:rFonts w:ascii="Times New Roman" w:hAnsi="Times New Roman"/>
          <w:i/>
        </w:rPr>
        <w:t>Horní Bříza</w:t>
      </w:r>
      <w:r w:rsidR="00B44969" w:rsidRPr="00ED7ECD">
        <w:rPr>
          <w:rFonts w:ascii="Times New Roman" w:hAnsi="Times New Roman"/>
          <w:i/>
        </w:rPr>
        <w:t xml:space="preserve"> (přepracováním v S-JTKS</w:t>
      </w:r>
      <w:r w:rsidR="00BC1AE5" w:rsidRPr="00ED7ECD">
        <w:rPr>
          <w:rFonts w:ascii="Times New Roman" w:hAnsi="Times New Roman"/>
          <w:i/>
        </w:rPr>
        <w:t xml:space="preserve">) </w:t>
      </w:r>
      <w:r w:rsidR="00772E6B" w:rsidRPr="00ED7ECD">
        <w:rPr>
          <w:rFonts w:ascii="Times New Roman" w:hAnsi="Times New Roman"/>
          <w:i/>
        </w:rPr>
        <w:t xml:space="preserve">a </w:t>
      </w:r>
      <w:r w:rsidR="00ED7ECD" w:rsidRPr="00ED7ECD">
        <w:rPr>
          <w:rFonts w:ascii="Times New Roman" w:hAnsi="Times New Roman"/>
          <w:i/>
        </w:rPr>
        <w:t xml:space="preserve">Úherce </w:t>
      </w:r>
      <w:r w:rsidR="00ED7ECD">
        <w:rPr>
          <w:rFonts w:ascii="Times New Roman" w:hAnsi="Times New Roman"/>
          <w:i/>
        </w:rPr>
        <w:t>u </w:t>
      </w:r>
      <w:r w:rsidR="00ED7ECD" w:rsidRPr="00ED7ECD">
        <w:rPr>
          <w:rFonts w:ascii="Times New Roman" w:hAnsi="Times New Roman"/>
          <w:i/>
        </w:rPr>
        <w:t>Nýřan (část)</w:t>
      </w:r>
      <w:r w:rsidR="00BC1AE5" w:rsidRPr="00ED7ECD">
        <w:rPr>
          <w:rFonts w:ascii="Times New Roman" w:hAnsi="Times New Roman"/>
          <w:i/>
        </w:rPr>
        <w:t xml:space="preserve"> (přepracováním v S-JTKS</w:t>
      </w:r>
      <w:r w:rsidR="00B1319F" w:rsidRPr="00ED7ECD">
        <w:rPr>
          <w:rFonts w:ascii="Times New Roman" w:hAnsi="Times New Roman"/>
          <w:i/>
        </w:rPr>
        <w:t>)</w:t>
      </w:r>
      <w:r w:rsidR="00CB5EE3" w:rsidRPr="00ED7ECD">
        <w:rPr>
          <w:rFonts w:ascii="Times New Roman" w:hAnsi="Times New Roman"/>
          <w:i/>
        </w:rPr>
        <w:t>. N</w:t>
      </w:r>
      <w:r w:rsidR="00984678" w:rsidRPr="00ED7ECD">
        <w:rPr>
          <w:rFonts w:ascii="Times New Roman" w:hAnsi="Times New Roman"/>
          <w:i/>
        </w:rPr>
        <w:t xml:space="preserve">a území statutárního města Plzně </w:t>
      </w:r>
      <w:r w:rsidR="00CB5EE3" w:rsidRPr="00ED7ECD">
        <w:rPr>
          <w:rFonts w:ascii="Times New Roman" w:hAnsi="Times New Roman"/>
          <w:i/>
        </w:rPr>
        <w:t xml:space="preserve">byla již </w:t>
      </w:r>
      <w:r w:rsidR="00984678" w:rsidRPr="00ED7ECD">
        <w:rPr>
          <w:rFonts w:ascii="Times New Roman" w:hAnsi="Times New Roman"/>
          <w:i/>
        </w:rPr>
        <w:t>digitalizace</w:t>
      </w:r>
      <w:r w:rsidR="00CB5EE3" w:rsidRPr="00ED7ECD">
        <w:rPr>
          <w:rFonts w:ascii="Times New Roman" w:hAnsi="Times New Roman"/>
          <w:i/>
        </w:rPr>
        <w:t xml:space="preserve"> </w:t>
      </w:r>
      <w:r w:rsidR="00FE3610" w:rsidRPr="00ED7ECD">
        <w:rPr>
          <w:rFonts w:ascii="Times New Roman" w:hAnsi="Times New Roman"/>
          <w:i/>
        </w:rPr>
        <w:t xml:space="preserve">ukončena </w:t>
      </w:r>
      <w:r w:rsidR="00CB5EE3" w:rsidRPr="00ED7ECD">
        <w:rPr>
          <w:rFonts w:ascii="Times New Roman" w:hAnsi="Times New Roman"/>
          <w:i/>
        </w:rPr>
        <w:t xml:space="preserve">ve </w:t>
      </w:r>
      <w:r w:rsidR="00984678" w:rsidRPr="00ED7ECD">
        <w:rPr>
          <w:rFonts w:ascii="Times New Roman" w:hAnsi="Times New Roman"/>
          <w:i/>
        </w:rPr>
        <w:t>v</w:t>
      </w:r>
      <w:r w:rsidR="00CB5EE3" w:rsidRPr="00ED7ECD">
        <w:rPr>
          <w:rFonts w:ascii="Times New Roman" w:hAnsi="Times New Roman"/>
          <w:i/>
        </w:rPr>
        <w:t>šech</w:t>
      </w:r>
      <w:r w:rsidR="00984678" w:rsidRPr="00ED7ECD">
        <w:rPr>
          <w:rFonts w:ascii="Times New Roman" w:hAnsi="Times New Roman"/>
          <w:i/>
        </w:rPr>
        <w:t xml:space="preserve"> katastrální</w:t>
      </w:r>
      <w:r w:rsidR="00CB5EE3" w:rsidRPr="00ED7ECD">
        <w:rPr>
          <w:rFonts w:ascii="Times New Roman" w:hAnsi="Times New Roman"/>
          <w:i/>
        </w:rPr>
        <w:t>ch</w:t>
      </w:r>
      <w:r w:rsidR="00984678" w:rsidRPr="00ED7ECD">
        <w:rPr>
          <w:rFonts w:ascii="Times New Roman" w:hAnsi="Times New Roman"/>
          <w:i/>
        </w:rPr>
        <w:t xml:space="preserve"> území</w:t>
      </w:r>
      <w:r w:rsidR="00CB5EE3" w:rsidRPr="00ED7ECD">
        <w:rPr>
          <w:rFonts w:ascii="Times New Roman" w:hAnsi="Times New Roman"/>
          <w:i/>
        </w:rPr>
        <w:t>ch</w:t>
      </w:r>
      <w:r w:rsidR="00494013" w:rsidRPr="00ED7ECD">
        <w:rPr>
          <w:rFonts w:ascii="Times New Roman" w:hAnsi="Times New Roman"/>
          <w:i/>
        </w:rPr>
        <w:t>.</w:t>
      </w:r>
    </w:p>
    <w:p w:rsidR="00427E18" w:rsidRPr="00ED7ECD" w:rsidRDefault="00427E18" w:rsidP="00427E18">
      <w:pPr>
        <w:pStyle w:val="Zkladntextodsazen2"/>
        <w:jc w:val="both"/>
        <w:rPr>
          <w:rFonts w:ascii="Times New Roman" w:hAnsi="Times New Roman"/>
          <w:i/>
        </w:rPr>
      </w:pPr>
      <w:r w:rsidRPr="00ED7ECD">
        <w:rPr>
          <w:rFonts w:ascii="Times New Roman" w:hAnsi="Times New Roman"/>
          <w:i/>
        </w:rPr>
        <w:t xml:space="preserve">S dokončením digitalizace v jednotlivých katastrálních územích je spojeno nejen zpřesnění </w:t>
      </w:r>
      <w:r w:rsidR="00015D3C" w:rsidRPr="00ED7ECD">
        <w:rPr>
          <w:rFonts w:ascii="Times New Roman" w:hAnsi="Times New Roman"/>
          <w:i/>
        </w:rPr>
        <w:t xml:space="preserve">vlastnických </w:t>
      </w:r>
      <w:r w:rsidRPr="00ED7ECD">
        <w:rPr>
          <w:rFonts w:ascii="Times New Roman" w:hAnsi="Times New Roman"/>
          <w:i/>
        </w:rPr>
        <w:t xml:space="preserve">hranic parcel včetně jejich výměr, ale pro město, tedy pro </w:t>
      </w:r>
      <w:r w:rsidR="00481FE4" w:rsidRPr="00ED7ECD">
        <w:rPr>
          <w:rFonts w:ascii="Times New Roman" w:hAnsi="Times New Roman"/>
          <w:i/>
        </w:rPr>
        <w:t>o</w:t>
      </w:r>
      <w:r w:rsidR="00AE7668" w:rsidRPr="00ED7ECD">
        <w:rPr>
          <w:rFonts w:ascii="Times New Roman" w:hAnsi="Times New Roman"/>
          <w:i/>
        </w:rPr>
        <w:t xml:space="preserve">dbor </w:t>
      </w:r>
      <w:r w:rsidRPr="00ED7ECD">
        <w:rPr>
          <w:rFonts w:ascii="Times New Roman" w:hAnsi="Times New Roman"/>
          <w:i/>
        </w:rPr>
        <w:t xml:space="preserve">evidence majetku MMP, to znamená mnohonásobná šetření vlastnictví včetně získání nabývacích listin u </w:t>
      </w:r>
      <w:r w:rsidR="0074475B" w:rsidRPr="00ED7ECD">
        <w:rPr>
          <w:rFonts w:ascii="Times New Roman" w:hAnsi="Times New Roman"/>
          <w:i/>
        </w:rPr>
        <w:t>dosud nesv</w:t>
      </w:r>
      <w:r w:rsidR="004B2CFE" w:rsidRPr="00ED7ECD">
        <w:rPr>
          <w:rFonts w:ascii="Times New Roman" w:hAnsi="Times New Roman"/>
          <w:i/>
        </w:rPr>
        <w:t>ě</w:t>
      </w:r>
      <w:r w:rsidR="0074475B" w:rsidRPr="00ED7ECD">
        <w:rPr>
          <w:rFonts w:ascii="Times New Roman" w:hAnsi="Times New Roman"/>
          <w:i/>
        </w:rPr>
        <w:t>řených</w:t>
      </w:r>
      <w:r w:rsidR="00C32DD3" w:rsidRPr="00ED7ECD">
        <w:rPr>
          <w:rFonts w:ascii="Times New Roman" w:hAnsi="Times New Roman"/>
          <w:i/>
        </w:rPr>
        <w:t xml:space="preserve"> </w:t>
      </w:r>
      <w:r w:rsidRPr="00ED7ECD">
        <w:rPr>
          <w:rFonts w:ascii="Times New Roman" w:hAnsi="Times New Roman"/>
          <w:i/>
        </w:rPr>
        <w:t>pozemků a jejich následn</w:t>
      </w:r>
      <w:r w:rsidR="00481FE4" w:rsidRPr="00ED7ECD">
        <w:rPr>
          <w:rFonts w:ascii="Times New Roman" w:hAnsi="Times New Roman"/>
          <w:i/>
        </w:rPr>
        <w:t>é</w:t>
      </w:r>
      <w:r w:rsidRPr="00ED7ECD">
        <w:rPr>
          <w:rFonts w:ascii="Times New Roman" w:hAnsi="Times New Roman"/>
          <w:i/>
        </w:rPr>
        <w:t xml:space="preserve"> svěření. V evidenci majetku města je pak nutné provést u každého pozemku dotčeného změnou opravu záznamu</w:t>
      </w:r>
      <w:r w:rsidR="005572D7" w:rsidRPr="00ED7ECD">
        <w:rPr>
          <w:rFonts w:ascii="Times New Roman" w:hAnsi="Times New Roman"/>
          <w:i/>
        </w:rPr>
        <w:t xml:space="preserve"> a zároveň v případě pozemkových úprav i účetní změny majetku</w:t>
      </w:r>
      <w:r w:rsidRPr="00ED7ECD">
        <w:rPr>
          <w:rFonts w:ascii="Times New Roman" w:hAnsi="Times New Roman"/>
          <w:i/>
        </w:rPr>
        <w:t>.</w:t>
      </w:r>
    </w:p>
    <w:p w:rsidR="00427E18" w:rsidRPr="00ED7ECD" w:rsidRDefault="00427E18" w:rsidP="00427E18">
      <w:pPr>
        <w:pStyle w:val="text"/>
        <w:spacing w:before="0"/>
        <w:ind w:firstLine="709"/>
        <w:jc w:val="both"/>
        <w:rPr>
          <w:i/>
        </w:rPr>
      </w:pPr>
      <w:r w:rsidRPr="00ED7ECD">
        <w:rPr>
          <w:i/>
        </w:rPr>
        <w:t xml:space="preserve">Na základě ustanovení § </w:t>
      </w:r>
      <w:r w:rsidR="005572D7" w:rsidRPr="00ED7ECD">
        <w:rPr>
          <w:i/>
        </w:rPr>
        <w:t>36</w:t>
      </w:r>
      <w:r w:rsidRPr="00ED7ECD">
        <w:rPr>
          <w:i/>
        </w:rPr>
        <w:t xml:space="preserve"> zák. </w:t>
      </w:r>
      <w:r w:rsidR="005572D7" w:rsidRPr="00ED7ECD">
        <w:rPr>
          <w:i/>
        </w:rPr>
        <w:t>256</w:t>
      </w:r>
      <w:r w:rsidRPr="00ED7ECD">
        <w:rPr>
          <w:i/>
        </w:rPr>
        <w:t>/</w:t>
      </w:r>
      <w:r w:rsidR="005572D7" w:rsidRPr="00ED7ECD">
        <w:rPr>
          <w:i/>
        </w:rPr>
        <w:t>2013</w:t>
      </w:r>
      <w:r w:rsidRPr="00ED7ECD">
        <w:rPr>
          <w:i/>
        </w:rPr>
        <w:t xml:space="preserve"> Sb. v platném znění (dále jen </w:t>
      </w:r>
      <w:r w:rsidR="005572D7" w:rsidRPr="00ED7ECD">
        <w:rPr>
          <w:i/>
        </w:rPr>
        <w:t>k</w:t>
      </w:r>
      <w:r w:rsidRPr="00ED7ECD">
        <w:rPr>
          <w:i/>
        </w:rPr>
        <w:t xml:space="preserve">atastrální zákon) provádí katastrální úřady opravy chyb v katastru nemovitostí. Tyto </w:t>
      </w:r>
      <w:r w:rsidR="00015D3C" w:rsidRPr="00ED7ECD">
        <w:rPr>
          <w:i/>
        </w:rPr>
        <w:t>o</w:t>
      </w:r>
      <w:r w:rsidRPr="00ED7ECD">
        <w:rPr>
          <w:i/>
        </w:rPr>
        <w:t xml:space="preserve">pravy jsou vyvolány různými podněty, které přesně specifikuje příslušný § katastrálního zákona. </w:t>
      </w:r>
      <w:r w:rsidR="00015D3C" w:rsidRPr="00ED7ECD">
        <w:rPr>
          <w:i/>
        </w:rPr>
        <w:t>Dochází k nim zejména při zápisu nových geometrických plánů a při přípravě obnovy operátu jednotlivých katastrálních území.</w:t>
      </w:r>
    </w:p>
    <w:p w:rsidR="00427E18" w:rsidRPr="00ED7ECD" w:rsidRDefault="00427E18" w:rsidP="00427E18">
      <w:pPr>
        <w:pStyle w:val="text"/>
        <w:spacing w:before="0"/>
        <w:ind w:firstLine="709"/>
        <w:jc w:val="both"/>
      </w:pPr>
      <w:r w:rsidRPr="00ED7ECD">
        <w:rPr>
          <w:i/>
        </w:rPr>
        <w:t>O případech, ve kterých je dotčen opravou chyby v katastru nemovitostí majetek ve vlastnictví statutárního města Plzeň, je EVID MMP informován</w:t>
      </w:r>
      <w:r w:rsidR="00015D3C" w:rsidRPr="00ED7ECD">
        <w:rPr>
          <w:i/>
        </w:rPr>
        <w:t xml:space="preserve"> a n</w:t>
      </w:r>
      <w:r w:rsidRPr="00ED7ECD">
        <w:rPr>
          <w:i/>
        </w:rPr>
        <w:t>ásledně provede kontrolu dokladů nebo skutečností, které vedly k opravě chy</w:t>
      </w:r>
      <w:r w:rsidRPr="00ED7ECD">
        <w:t>by v katastru nemovitostí. V případě, kdy by bylo zjištěno poškození práv statutárního města Plzeň, jsou k dispozici opravné prostředky proti provedení příslušné opravy.</w:t>
      </w:r>
    </w:p>
    <w:p w:rsidR="00E77078" w:rsidRPr="00D43C9B" w:rsidRDefault="00E77078">
      <w:pPr>
        <w:pStyle w:val="text"/>
        <w:spacing w:before="0"/>
        <w:ind w:firstLine="709"/>
        <w:jc w:val="both"/>
        <w:rPr>
          <w:highlight w:val="yellow"/>
        </w:rPr>
      </w:pPr>
    </w:p>
    <w:p w:rsidR="00494013" w:rsidRPr="008829A1" w:rsidRDefault="00494013">
      <w:pPr>
        <w:pStyle w:val="text"/>
        <w:spacing w:before="0"/>
        <w:ind w:firstLine="709"/>
        <w:jc w:val="both"/>
        <w:rPr>
          <w:highlight w:val="yellow"/>
        </w:rPr>
      </w:pPr>
    </w:p>
    <w:p w:rsidR="00494013" w:rsidRPr="008829A1" w:rsidRDefault="00494013">
      <w:pPr>
        <w:pStyle w:val="text"/>
        <w:spacing w:before="0"/>
        <w:ind w:firstLine="709"/>
        <w:jc w:val="both"/>
        <w:rPr>
          <w:highlight w:val="yellow"/>
        </w:rPr>
      </w:pPr>
    </w:p>
    <w:p w:rsidR="00494013" w:rsidRPr="008829A1" w:rsidRDefault="00494013">
      <w:pPr>
        <w:pStyle w:val="text"/>
        <w:spacing w:before="0"/>
        <w:ind w:firstLine="709"/>
        <w:jc w:val="both"/>
        <w:rPr>
          <w:highlight w:val="yellow"/>
        </w:rPr>
      </w:pPr>
    </w:p>
    <w:p w:rsidR="00E828B4" w:rsidRPr="00AD7C04" w:rsidRDefault="00E828B4" w:rsidP="003352C2">
      <w:pPr>
        <w:pStyle w:val="text"/>
        <w:keepNext/>
        <w:spacing w:before="0"/>
        <w:ind w:firstLine="709"/>
        <w:jc w:val="both"/>
      </w:pPr>
      <w:r w:rsidRPr="00AD7C04">
        <w:lastRenderedPageBreak/>
        <w:t xml:space="preserve">V roce </w:t>
      </w:r>
      <w:r w:rsidR="00271EF9" w:rsidRPr="00AD7C04">
        <w:t>201</w:t>
      </w:r>
      <w:r w:rsidR="00C816EB">
        <w:t>6</w:t>
      </w:r>
      <w:r w:rsidRPr="00AD7C04">
        <w:t xml:space="preserve"> se dotýkaly majetku ve vlastnictví města následující opravy chyb katastru nemovitostí:</w:t>
      </w:r>
    </w:p>
    <w:p w:rsidR="004B4450" w:rsidRDefault="004B4450" w:rsidP="00AD7C04">
      <w:pPr>
        <w:pStyle w:val="text"/>
        <w:keepNext/>
        <w:spacing w:before="0"/>
        <w:ind w:firstLine="709"/>
        <w:jc w:val="both"/>
        <w:rPr>
          <w:szCs w:val="24"/>
        </w:rPr>
      </w:pPr>
    </w:p>
    <w:p w:rsidR="002F3C9C" w:rsidRDefault="002F3C9C" w:rsidP="00AD7C04">
      <w:pPr>
        <w:pStyle w:val="text"/>
        <w:keepNext/>
        <w:spacing w:before="0"/>
        <w:ind w:firstLine="709"/>
        <w:jc w:val="both"/>
        <w:rPr>
          <w:szCs w:val="24"/>
        </w:rPr>
      </w:pPr>
    </w:p>
    <w:tbl>
      <w:tblPr>
        <w:tblW w:w="1036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843"/>
        <w:gridCol w:w="1276"/>
        <w:gridCol w:w="5386"/>
      </w:tblGrid>
      <w:tr w:rsidR="00934862" w:rsidRPr="004C0C1D" w:rsidTr="00934862">
        <w:trPr>
          <w:trHeight w:val="540"/>
        </w:trPr>
        <w:tc>
          <w:tcPr>
            <w:tcW w:w="1858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shd w:val="pct12" w:color="auto" w:fill="auto"/>
            <w:noWrap/>
            <w:vAlign w:val="center"/>
            <w:hideMark/>
          </w:tcPr>
          <w:p w:rsidR="004C0C1D" w:rsidRPr="004C0C1D" w:rsidRDefault="004C0C1D" w:rsidP="0093486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C0C1D">
              <w:rPr>
                <w:b/>
                <w:sz w:val="22"/>
                <w:szCs w:val="22"/>
              </w:rPr>
              <w:t>Číslo jednací katastrálního úřadu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  <w:noWrap/>
            <w:vAlign w:val="center"/>
            <w:hideMark/>
          </w:tcPr>
          <w:p w:rsidR="004C0C1D" w:rsidRPr="004C0C1D" w:rsidRDefault="004C0C1D" w:rsidP="0093486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C0C1D">
              <w:rPr>
                <w:b/>
                <w:sz w:val="22"/>
                <w:szCs w:val="22"/>
              </w:rPr>
              <w:t>Katastrální území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  <w:noWrap/>
            <w:vAlign w:val="center"/>
            <w:hideMark/>
          </w:tcPr>
          <w:p w:rsidR="004C0C1D" w:rsidRPr="004C0C1D" w:rsidRDefault="004C0C1D" w:rsidP="0093486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C0C1D">
              <w:rPr>
                <w:b/>
                <w:sz w:val="22"/>
                <w:szCs w:val="22"/>
              </w:rPr>
              <w:t>Datum oznámení</w:t>
            </w:r>
          </w:p>
        </w:tc>
        <w:tc>
          <w:tcPr>
            <w:tcW w:w="5386" w:type="dxa"/>
            <w:tcBorders>
              <w:top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pct12" w:color="auto" w:fill="auto"/>
            <w:vAlign w:val="center"/>
            <w:hideMark/>
          </w:tcPr>
          <w:p w:rsidR="004C0C1D" w:rsidRPr="004C0C1D" w:rsidRDefault="004C0C1D" w:rsidP="0093486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C0C1D">
              <w:rPr>
                <w:b/>
                <w:sz w:val="22"/>
                <w:szCs w:val="22"/>
              </w:rPr>
              <w:t>Předmět opravy</w:t>
            </w:r>
          </w:p>
        </w:tc>
      </w:tr>
      <w:tr w:rsidR="00484FCE" w:rsidRPr="004C0C1D" w:rsidTr="00484FCE">
        <w:trPr>
          <w:trHeight w:val="540"/>
        </w:trPr>
        <w:tc>
          <w:tcPr>
            <w:tcW w:w="1858" w:type="dxa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484FCE" w:rsidRPr="00484FCE" w:rsidRDefault="00484FCE" w:rsidP="00484FCE">
            <w:r w:rsidRPr="00484FCE">
              <w:t>OR-498/2016-407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484FCE" w:rsidRPr="00484FCE" w:rsidRDefault="00484FCE" w:rsidP="00484FCE">
            <w:r w:rsidRPr="00484FCE">
              <w:t>Vejprnice</w:t>
            </w:r>
          </w:p>
        </w:tc>
        <w:tc>
          <w:tcPr>
            <w:tcW w:w="1276" w:type="dxa"/>
            <w:tcBorders>
              <w:top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484FCE" w:rsidRPr="00484FCE" w:rsidRDefault="00484FCE" w:rsidP="00E24748">
            <w:pPr>
              <w:jc w:val="center"/>
            </w:pPr>
            <w:proofErr w:type="gramStart"/>
            <w:r w:rsidRPr="00484FCE">
              <w:t>28.12.2016</w:t>
            </w:r>
            <w:proofErr w:type="gramEnd"/>
          </w:p>
        </w:tc>
        <w:tc>
          <w:tcPr>
            <w:tcW w:w="5386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484FCE" w:rsidRPr="00484FCE" w:rsidRDefault="00484FCE" w:rsidP="00064CF6">
            <w:r w:rsidRPr="00484FCE">
              <w:t>Oprava výměry z 88 m</w:t>
            </w:r>
            <w:r w:rsidRPr="006473D0">
              <w:rPr>
                <w:vertAlign w:val="superscript"/>
              </w:rPr>
              <w:t>2</w:t>
            </w:r>
            <w:r w:rsidRPr="00484FCE">
              <w:t xml:space="preserve"> na 162 m</w:t>
            </w:r>
            <w:r w:rsidRPr="006473D0">
              <w:rPr>
                <w:vertAlign w:val="superscript"/>
              </w:rPr>
              <w:t>2</w:t>
            </w:r>
            <w:r w:rsidRPr="00484FCE">
              <w:t xml:space="preserve"> u pozemku p</w:t>
            </w:r>
            <w:r w:rsidR="00064CF6">
              <w:t>arcelní číslo</w:t>
            </w:r>
            <w:r w:rsidRPr="00484FCE">
              <w:t xml:space="preserve"> 1266/2 k. </w:t>
            </w:r>
            <w:proofErr w:type="spellStart"/>
            <w:r w:rsidRPr="00484FCE">
              <w:t>ú.</w:t>
            </w:r>
            <w:proofErr w:type="spellEnd"/>
            <w:r w:rsidRPr="00484FCE">
              <w:t xml:space="preserve"> Vejprnice z důvodu chybného zobrazení hranice v katastrální mapě</w:t>
            </w:r>
          </w:p>
        </w:tc>
      </w:tr>
      <w:tr w:rsidR="00484FCE" w:rsidRPr="004C0C1D" w:rsidTr="00484FCE">
        <w:trPr>
          <w:trHeight w:val="624"/>
        </w:trPr>
        <w:tc>
          <w:tcPr>
            <w:tcW w:w="1858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484FCE" w:rsidRPr="00484FCE" w:rsidRDefault="00484FCE" w:rsidP="00484FCE">
            <w:r w:rsidRPr="00484FCE">
              <w:t>OR-497/2016-407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4FCE" w:rsidRPr="00484FCE" w:rsidRDefault="00484FCE" w:rsidP="00484FCE">
            <w:r w:rsidRPr="00484FCE">
              <w:t>Vejprnice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CE" w:rsidRPr="00484FCE" w:rsidRDefault="00484FCE" w:rsidP="00E24748">
            <w:pPr>
              <w:jc w:val="center"/>
            </w:pPr>
            <w:proofErr w:type="gramStart"/>
            <w:r w:rsidRPr="00484FCE">
              <w:t>28.12.2016</w:t>
            </w:r>
            <w:proofErr w:type="gramEnd"/>
          </w:p>
        </w:tc>
        <w:tc>
          <w:tcPr>
            <w:tcW w:w="5386" w:type="dxa"/>
            <w:tcBorders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484FCE" w:rsidRPr="00484FCE" w:rsidRDefault="00484FCE" w:rsidP="000856FE">
            <w:r w:rsidRPr="00484FCE">
              <w:t xml:space="preserve">Oprava výměry u pozemku </w:t>
            </w:r>
            <w:r w:rsidR="00064CF6" w:rsidRPr="00484FCE">
              <w:t>p</w:t>
            </w:r>
            <w:r w:rsidR="00064CF6">
              <w:t>arcelní číslo</w:t>
            </w:r>
            <w:r w:rsidR="00064CF6" w:rsidRPr="00484FCE">
              <w:t xml:space="preserve"> </w:t>
            </w:r>
            <w:r w:rsidRPr="00484FCE">
              <w:t xml:space="preserve">1278/7 k. </w:t>
            </w:r>
            <w:proofErr w:type="spellStart"/>
            <w:r w:rsidRPr="00484FCE">
              <w:t>ú.</w:t>
            </w:r>
            <w:proofErr w:type="spellEnd"/>
            <w:r w:rsidRPr="00484FCE">
              <w:t xml:space="preserve"> </w:t>
            </w:r>
            <w:r w:rsidR="001857CC">
              <w:t>V</w:t>
            </w:r>
            <w:r w:rsidRPr="00484FCE">
              <w:t>ejprnice z 19749 m</w:t>
            </w:r>
            <w:r w:rsidRPr="006473D0">
              <w:rPr>
                <w:vertAlign w:val="superscript"/>
              </w:rPr>
              <w:t>2</w:t>
            </w:r>
            <w:r w:rsidRPr="00484FCE">
              <w:t xml:space="preserve"> na 19760 m</w:t>
            </w:r>
            <w:r w:rsidRPr="006473D0">
              <w:rPr>
                <w:vertAlign w:val="superscript"/>
              </w:rPr>
              <w:t>2</w:t>
            </w:r>
            <w:r w:rsidR="000856FE">
              <w:t xml:space="preserve"> v souvislosti</w:t>
            </w:r>
            <w:r w:rsidRPr="00484FCE">
              <w:t xml:space="preserve"> s digitalizací</w:t>
            </w:r>
          </w:p>
        </w:tc>
      </w:tr>
      <w:tr w:rsidR="00484FCE" w:rsidRPr="004C0C1D" w:rsidTr="00484FCE">
        <w:trPr>
          <w:trHeight w:val="552"/>
        </w:trPr>
        <w:tc>
          <w:tcPr>
            <w:tcW w:w="1858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484FCE" w:rsidRPr="00484FCE" w:rsidRDefault="00484FCE" w:rsidP="00484FCE">
            <w:r w:rsidRPr="00484FCE">
              <w:t>OR-322/20016-405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4FCE" w:rsidRPr="00484FCE" w:rsidRDefault="00484FCE" w:rsidP="00484FCE">
            <w:r w:rsidRPr="00484FCE">
              <w:t>Skvrňany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CE" w:rsidRPr="00484FCE" w:rsidRDefault="00484FCE" w:rsidP="00E24748">
            <w:pPr>
              <w:jc w:val="center"/>
            </w:pPr>
            <w:proofErr w:type="gramStart"/>
            <w:r w:rsidRPr="00484FCE">
              <w:t>28.12.2016</w:t>
            </w:r>
            <w:proofErr w:type="gramEnd"/>
          </w:p>
        </w:tc>
        <w:tc>
          <w:tcPr>
            <w:tcW w:w="5386" w:type="dxa"/>
            <w:tcBorders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484FCE" w:rsidRPr="00484FCE" w:rsidRDefault="00484FCE" w:rsidP="000856FE">
            <w:r w:rsidRPr="00484FCE">
              <w:t xml:space="preserve">Oprava výměry u pozemku </w:t>
            </w:r>
            <w:r w:rsidR="00064CF6" w:rsidRPr="00484FCE">
              <w:t>p</w:t>
            </w:r>
            <w:r w:rsidR="00064CF6">
              <w:t>arcelní číslo</w:t>
            </w:r>
            <w:r w:rsidR="00064CF6" w:rsidRPr="00484FCE">
              <w:t xml:space="preserve"> </w:t>
            </w:r>
            <w:r w:rsidRPr="00484FCE">
              <w:t xml:space="preserve">1496/18 k. </w:t>
            </w:r>
            <w:proofErr w:type="spellStart"/>
            <w:r w:rsidRPr="00484FCE">
              <w:t>ú.</w:t>
            </w:r>
            <w:proofErr w:type="spellEnd"/>
            <w:r w:rsidRPr="00484FCE">
              <w:t xml:space="preserve"> Skvrňany z 15283 m</w:t>
            </w:r>
            <w:r w:rsidRPr="006473D0">
              <w:rPr>
                <w:vertAlign w:val="superscript"/>
              </w:rPr>
              <w:t>2</w:t>
            </w:r>
            <w:r w:rsidRPr="00484FCE">
              <w:t xml:space="preserve"> na 15286 m</w:t>
            </w:r>
            <w:r w:rsidRPr="006473D0">
              <w:rPr>
                <w:vertAlign w:val="superscript"/>
              </w:rPr>
              <w:t>2</w:t>
            </w:r>
            <w:r w:rsidR="000856FE">
              <w:t xml:space="preserve"> v souvislosti</w:t>
            </w:r>
            <w:r w:rsidRPr="00484FCE">
              <w:t xml:space="preserve"> s digitalizací</w:t>
            </w:r>
          </w:p>
        </w:tc>
      </w:tr>
      <w:tr w:rsidR="00484FCE" w:rsidRPr="004C0C1D" w:rsidTr="00484FCE">
        <w:trPr>
          <w:trHeight w:val="600"/>
        </w:trPr>
        <w:tc>
          <w:tcPr>
            <w:tcW w:w="1858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484FCE" w:rsidRPr="00484FCE" w:rsidRDefault="00484FCE" w:rsidP="00484FCE">
            <w:r w:rsidRPr="00484FCE">
              <w:t>OR-237/2016-405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4FCE" w:rsidRPr="00484FCE" w:rsidRDefault="00484FCE" w:rsidP="00484FCE">
            <w:r w:rsidRPr="00484FCE">
              <w:t>Doudlevce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CE" w:rsidRPr="00484FCE" w:rsidRDefault="00484FCE" w:rsidP="00E24748">
            <w:pPr>
              <w:jc w:val="center"/>
            </w:pPr>
            <w:proofErr w:type="gramStart"/>
            <w:r w:rsidRPr="00484FCE">
              <w:t>10.11.2016</w:t>
            </w:r>
            <w:proofErr w:type="gramEnd"/>
          </w:p>
        </w:tc>
        <w:tc>
          <w:tcPr>
            <w:tcW w:w="5386" w:type="dxa"/>
            <w:tcBorders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484FCE" w:rsidRPr="00484FCE" w:rsidRDefault="00484FCE" w:rsidP="00484FCE">
            <w:r w:rsidRPr="00484FCE">
              <w:t xml:space="preserve">Oprava zákresu parcely </w:t>
            </w:r>
            <w:r w:rsidR="00064CF6" w:rsidRPr="00484FCE">
              <w:t>p</w:t>
            </w:r>
            <w:r w:rsidR="00064CF6">
              <w:t>arcelní číslo</w:t>
            </w:r>
            <w:r w:rsidR="00064CF6" w:rsidRPr="00484FCE">
              <w:t xml:space="preserve"> </w:t>
            </w:r>
            <w:r w:rsidRPr="00484FCE">
              <w:t xml:space="preserve">490/26 na základě omylu při </w:t>
            </w:r>
            <w:r w:rsidR="001857CC" w:rsidRPr="00484FCE">
              <w:t>tvorbě</w:t>
            </w:r>
            <w:r w:rsidRPr="00484FCE">
              <w:t xml:space="preserve"> digitální mapy</w:t>
            </w:r>
          </w:p>
        </w:tc>
      </w:tr>
      <w:tr w:rsidR="00484FCE" w:rsidRPr="004C0C1D" w:rsidTr="00484FCE">
        <w:trPr>
          <w:trHeight w:val="600"/>
        </w:trPr>
        <w:tc>
          <w:tcPr>
            <w:tcW w:w="1858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484FCE" w:rsidRPr="00484FCE" w:rsidRDefault="00484FCE" w:rsidP="00484FCE">
            <w:r w:rsidRPr="00484FCE">
              <w:t>OR-352/2016-405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4FCE" w:rsidRPr="00484FCE" w:rsidRDefault="00484FCE" w:rsidP="00484FCE">
            <w:r w:rsidRPr="00484FCE">
              <w:t>Losiná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CE" w:rsidRPr="00484FCE" w:rsidRDefault="00484FCE" w:rsidP="00E24748">
            <w:pPr>
              <w:jc w:val="center"/>
            </w:pPr>
            <w:proofErr w:type="gramStart"/>
            <w:r w:rsidRPr="00484FCE">
              <w:t>1.9.2016</w:t>
            </w:r>
            <w:proofErr w:type="gramEnd"/>
          </w:p>
        </w:tc>
        <w:tc>
          <w:tcPr>
            <w:tcW w:w="5386" w:type="dxa"/>
            <w:tcBorders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484FCE" w:rsidRPr="00CC62A1" w:rsidRDefault="00484FCE" w:rsidP="00CC62A1">
            <w:r w:rsidRPr="00484FCE">
              <w:t xml:space="preserve">Oprava výměry </w:t>
            </w:r>
            <w:r w:rsidR="002F3C9C">
              <w:t xml:space="preserve">závorkové </w:t>
            </w:r>
            <w:r w:rsidRPr="00484FCE">
              <w:t xml:space="preserve">parcely </w:t>
            </w:r>
            <w:r w:rsidR="00064CF6" w:rsidRPr="00484FCE">
              <w:t>p</w:t>
            </w:r>
            <w:r w:rsidR="00064CF6">
              <w:t>arcelní číslo</w:t>
            </w:r>
            <w:r w:rsidR="00064CF6" w:rsidRPr="00484FCE">
              <w:t xml:space="preserve"> </w:t>
            </w:r>
            <w:r w:rsidRPr="00484FCE">
              <w:t xml:space="preserve">GP </w:t>
            </w:r>
            <w:r w:rsidR="00CC62A1">
              <w:t>(</w:t>
            </w:r>
            <w:r w:rsidRPr="00484FCE">
              <w:t>182/8</w:t>
            </w:r>
            <w:r w:rsidR="006473D0">
              <w:t>)</w:t>
            </w:r>
            <w:r w:rsidRPr="00484FCE">
              <w:t xml:space="preserve"> z dosavadních 2812 m</w:t>
            </w:r>
            <w:r w:rsidRPr="006473D0">
              <w:rPr>
                <w:vertAlign w:val="superscript"/>
              </w:rPr>
              <w:t>2</w:t>
            </w:r>
            <w:r w:rsidRPr="00484FCE">
              <w:t xml:space="preserve"> na 8852 m</w:t>
            </w:r>
            <w:r w:rsidRPr="006473D0">
              <w:rPr>
                <w:vertAlign w:val="superscript"/>
              </w:rPr>
              <w:t>2</w:t>
            </w:r>
            <w:r w:rsidR="00CC62A1">
              <w:t xml:space="preserve"> – zpřesnění parcel ve zjednodušené evidenci </w:t>
            </w:r>
          </w:p>
        </w:tc>
      </w:tr>
      <w:tr w:rsidR="00484FCE" w:rsidRPr="004C0C1D" w:rsidTr="00484FCE">
        <w:trPr>
          <w:trHeight w:val="576"/>
        </w:trPr>
        <w:tc>
          <w:tcPr>
            <w:tcW w:w="1858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484FCE" w:rsidRPr="00484FCE" w:rsidRDefault="00484FCE" w:rsidP="00484FCE">
            <w:r w:rsidRPr="00484FCE">
              <w:t>OR-134/2016-405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4FCE" w:rsidRPr="00484FCE" w:rsidRDefault="00484FCE" w:rsidP="00484FCE">
            <w:r w:rsidRPr="00484FCE">
              <w:t>Křimice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CE" w:rsidRPr="00484FCE" w:rsidRDefault="00484FCE" w:rsidP="00E24748">
            <w:pPr>
              <w:jc w:val="center"/>
            </w:pPr>
            <w:proofErr w:type="gramStart"/>
            <w:r w:rsidRPr="00484FCE">
              <w:t>20.5.2016</w:t>
            </w:r>
            <w:proofErr w:type="gramEnd"/>
          </w:p>
        </w:tc>
        <w:tc>
          <w:tcPr>
            <w:tcW w:w="5386" w:type="dxa"/>
            <w:tcBorders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484FCE" w:rsidRPr="00484FCE" w:rsidRDefault="00484FCE" w:rsidP="00484FCE">
            <w:r w:rsidRPr="00484FCE">
              <w:t xml:space="preserve">Zrušení pozemku </w:t>
            </w:r>
            <w:r w:rsidR="00064CF6" w:rsidRPr="00484FCE">
              <w:t>p</w:t>
            </w:r>
            <w:r w:rsidR="00064CF6">
              <w:t>arcelní číslo</w:t>
            </w:r>
            <w:r w:rsidRPr="00484FCE">
              <w:t xml:space="preserve"> 375/6, změna výměry u pozemku </w:t>
            </w:r>
            <w:r w:rsidR="00064CF6" w:rsidRPr="00484FCE">
              <w:t>p</w:t>
            </w:r>
            <w:r w:rsidR="00064CF6">
              <w:t>arcelní číslo</w:t>
            </w:r>
            <w:r w:rsidR="00064CF6" w:rsidRPr="00484FCE">
              <w:t xml:space="preserve"> </w:t>
            </w:r>
            <w:r w:rsidRPr="00484FCE">
              <w:t xml:space="preserve">318/7, zápis stavby garáže na pozemku </w:t>
            </w:r>
            <w:r w:rsidR="00064CF6" w:rsidRPr="00484FCE">
              <w:t>p</w:t>
            </w:r>
            <w:r w:rsidR="00064CF6">
              <w:t>arcelní číslo</w:t>
            </w:r>
            <w:r w:rsidR="00064CF6" w:rsidRPr="00484FCE">
              <w:t xml:space="preserve"> </w:t>
            </w:r>
            <w:r w:rsidRPr="00484FCE">
              <w:t xml:space="preserve">318/6 a zápis stavby garáže na pozemku </w:t>
            </w:r>
            <w:r w:rsidR="00064CF6" w:rsidRPr="00484FCE">
              <w:t>p</w:t>
            </w:r>
            <w:r w:rsidR="00064CF6">
              <w:t>arcelní číslo</w:t>
            </w:r>
            <w:r w:rsidR="00064CF6" w:rsidRPr="00484FCE">
              <w:t xml:space="preserve"> </w:t>
            </w:r>
            <w:r w:rsidRPr="00484FCE">
              <w:t>318/7</w:t>
            </w:r>
            <w:r w:rsidR="00CC62A1">
              <w:t xml:space="preserve"> – sloučení parcel dle faktického stavu</w:t>
            </w:r>
          </w:p>
        </w:tc>
      </w:tr>
      <w:tr w:rsidR="00484FCE" w:rsidRPr="004C0C1D" w:rsidTr="00484FCE">
        <w:trPr>
          <w:trHeight w:val="636"/>
        </w:trPr>
        <w:tc>
          <w:tcPr>
            <w:tcW w:w="185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484FCE" w:rsidRPr="00484FCE" w:rsidRDefault="00484FCE" w:rsidP="00484FCE">
            <w:r w:rsidRPr="00484FCE">
              <w:t>OR-71/2016-405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484FCE" w:rsidRPr="00484FCE" w:rsidRDefault="00484FCE" w:rsidP="00484FCE">
            <w:r w:rsidRPr="00484FCE">
              <w:t>Bolevec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484FCE" w:rsidRPr="00484FCE" w:rsidRDefault="00484FCE" w:rsidP="00E24748">
            <w:pPr>
              <w:jc w:val="center"/>
            </w:pPr>
            <w:proofErr w:type="gramStart"/>
            <w:r w:rsidRPr="00484FCE">
              <w:t>3.3.2016</w:t>
            </w:r>
            <w:proofErr w:type="gramEnd"/>
          </w:p>
        </w:tc>
        <w:tc>
          <w:tcPr>
            <w:tcW w:w="538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484FCE" w:rsidRPr="00484FCE" w:rsidRDefault="00484FCE" w:rsidP="00CC62A1">
            <w:r w:rsidRPr="00484FCE">
              <w:t>Z</w:t>
            </w:r>
            <w:r w:rsidR="00CC62A1">
              <w:t>ápis</w:t>
            </w:r>
            <w:r w:rsidRPr="00484FCE">
              <w:t xml:space="preserve"> věcného břemene cesty k povinné parcele </w:t>
            </w:r>
            <w:r w:rsidR="00064CF6" w:rsidRPr="00484FCE">
              <w:t>p</w:t>
            </w:r>
            <w:r w:rsidR="00064CF6">
              <w:t>arcelní číslo</w:t>
            </w:r>
            <w:r w:rsidR="00064CF6" w:rsidRPr="00484FCE">
              <w:t xml:space="preserve"> </w:t>
            </w:r>
            <w:r w:rsidRPr="00484FCE">
              <w:t xml:space="preserve">1899/7 pro oprávněné parcely - mimo jiné ve vlastnictví města Plzně </w:t>
            </w:r>
            <w:r w:rsidR="00064CF6" w:rsidRPr="00484FCE">
              <w:t>p</w:t>
            </w:r>
            <w:r w:rsidR="00064CF6">
              <w:t>arcelní číslo</w:t>
            </w:r>
            <w:r w:rsidR="00064CF6" w:rsidRPr="00484FCE">
              <w:t xml:space="preserve"> </w:t>
            </w:r>
            <w:r w:rsidRPr="00484FCE">
              <w:t>1901/5</w:t>
            </w:r>
          </w:p>
        </w:tc>
      </w:tr>
    </w:tbl>
    <w:p w:rsidR="004C0C1D" w:rsidRDefault="004C0C1D" w:rsidP="005832FE">
      <w:pPr>
        <w:pStyle w:val="text"/>
        <w:spacing w:before="0"/>
        <w:ind w:firstLine="709"/>
        <w:jc w:val="both"/>
        <w:rPr>
          <w:szCs w:val="24"/>
        </w:rPr>
      </w:pPr>
    </w:p>
    <w:p w:rsidR="002F3C9C" w:rsidRDefault="002F3C9C" w:rsidP="005832FE">
      <w:pPr>
        <w:pStyle w:val="text"/>
        <w:spacing w:before="0"/>
        <w:ind w:firstLine="709"/>
        <w:jc w:val="both"/>
        <w:rPr>
          <w:szCs w:val="24"/>
        </w:rPr>
      </w:pPr>
    </w:p>
    <w:p w:rsidR="00E828B4" w:rsidRPr="002405D2" w:rsidRDefault="00E828B4" w:rsidP="005832FE">
      <w:pPr>
        <w:pStyle w:val="text"/>
        <w:spacing w:before="0"/>
        <w:ind w:firstLine="709"/>
        <w:jc w:val="both"/>
        <w:rPr>
          <w:szCs w:val="24"/>
        </w:rPr>
      </w:pPr>
      <w:r w:rsidRPr="002405D2">
        <w:rPr>
          <w:szCs w:val="24"/>
        </w:rPr>
        <w:t xml:space="preserve">Zároveň </w:t>
      </w:r>
      <w:r w:rsidR="00FA7EBA" w:rsidRPr="002405D2">
        <w:rPr>
          <w:szCs w:val="24"/>
        </w:rPr>
        <w:t>EVID</w:t>
      </w:r>
      <w:r w:rsidRPr="002405D2">
        <w:rPr>
          <w:szCs w:val="24"/>
        </w:rPr>
        <w:t xml:space="preserve"> MMP prac</w:t>
      </w:r>
      <w:r w:rsidR="002C50FD" w:rsidRPr="002405D2">
        <w:rPr>
          <w:szCs w:val="24"/>
        </w:rPr>
        <w:t>oval</w:t>
      </w:r>
      <w:r w:rsidRPr="002405D2">
        <w:rPr>
          <w:szCs w:val="24"/>
        </w:rPr>
        <w:t xml:space="preserve"> soustavně na identifikaci majetku ve vlastnictví statutárního města Plzně a na jeho případném zavedení do účetní evidence města, aby byl dosažen soulad mezi stavem katastru nemovitostí a stavem evidence majetku statutárního města Plzně. Převážně se jedná o nemo</w:t>
      </w:r>
      <w:r w:rsidR="00FD2519" w:rsidRPr="002405D2">
        <w:rPr>
          <w:szCs w:val="24"/>
        </w:rPr>
        <w:t>vitosti, které získalo město na </w:t>
      </w:r>
      <w:r w:rsidRPr="002405D2">
        <w:rPr>
          <w:szCs w:val="24"/>
        </w:rPr>
        <w:t>základě zák. 172/1991 Sb. o přechodu některých věcí z majetku České republiky do vlastnictví obcí. V rámci těchto majetko</w:t>
      </w:r>
      <w:r w:rsidR="002C50FD" w:rsidRPr="002405D2">
        <w:rPr>
          <w:szCs w:val="24"/>
        </w:rPr>
        <w:t xml:space="preserve">vých šetření byl během roku </w:t>
      </w:r>
      <w:r w:rsidR="005A44CD" w:rsidRPr="002405D2">
        <w:rPr>
          <w:szCs w:val="24"/>
        </w:rPr>
        <w:t>201</w:t>
      </w:r>
      <w:r w:rsidR="00C816EB">
        <w:rPr>
          <w:szCs w:val="24"/>
        </w:rPr>
        <w:t>6</w:t>
      </w:r>
      <w:r w:rsidR="005A44CD" w:rsidRPr="002405D2">
        <w:rPr>
          <w:szCs w:val="24"/>
        </w:rPr>
        <w:t xml:space="preserve"> </w:t>
      </w:r>
      <w:r w:rsidRPr="002405D2">
        <w:rPr>
          <w:szCs w:val="24"/>
        </w:rPr>
        <w:t xml:space="preserve">svěřen a doplněn majetek v celkové </w:t>
      </w:r>
      <w:r w:rsidRPr="007664AA">
        <w:rPr>
          <w:szCs w:val="24"/>
        </w:rPr>
        <w:t xml:space="preserve">hodnotě </w:t>
      </w:r>
      <w:r w:rsidR="00A53966">
        <w:rPr>
          <w:b/>
          <w:szCs w:val="24"/>
        </w:rPr>
        <w:t>4 048 323</w:t>
      </w:r>
      <w:r w:rsidR="00990DD7" w:rsidRPr="00974DE4">
        <w:rPr>
          <w:b/>
          <w:szCs w:val="24"/>
        </w:rPr>
        <w:t> </w:t>
      </w:r>
      <w:r w:rsidRPr="00974DE4">
        <w:rPr>
          <w:b/>
          <w:szCs w:val="24"/>
        </w:rPr>
        <w:t>Kč</w:t>
      </w:r>
      <w:r w:rsidRPr="00AC4524">
        <w:rPr>
          <w:szCs w:val="24"/>
        </w:rPr>
        <w:t>.</w:t>
      </w:r>
    </w:p>
    <w:p w:rsidR="00041C81" w:rsidRDefault="00041C81">
      <w:pPr>
        <w:pStyle w:val="Zkladntextodsazen2"/>
        <w:rPr>
          <w:rFonts w:ascii="Times New Roman" w:hAnsi="Times New Roman"/>
          <w:szCs w:val="24"/>
        </w:rPr>
      </w:pPr>
      <w:bookmarkStart w:id="1" w:name="OLE_LINK2"/>
      <w:bookmarkStart w:id="2" w:name="OLE_LINK3"/>
    </w:p>
    <w:p w:rsidR="00266019" w:rsidRDefault="00266019">
      <w:pPr>
        <w:pStyle w:val="Zkladntextodsazen2"/>
        <w:rPr>
          <w:rFonts w:ascii="Times New Roman" w:hAnsi="Times New Roman"/>
          <w:szCs w:val="24"/>
        </w:rPr>
      </w:pPr>
    </w:p>
    <w:p w:rsidR="002F3C9C" w:rsidRPr="00965A58" w:rsidRDefault="002F3C9C">
      <w:pPr>
        <w:pStyle w:val="Zkladntextodsazen2"/>
        <w:rPr>
          <w:rFonts w:ascii="Times New Roman" w:hAnsi="Times New Roman"/>
          <w:szCs w:val="24"/>
        </w:rPr>
      </w:pPr>
    </w:p>
    <w:bookmarkEnd w:id="1"/>
    <w:bookmarkEnd w:id="2"/>
    <w:p w:rsidR="00CB6E98" w:rsidRPr="00FF506D" w:rsidRDefault="00CB6E98" w:rsidP="00243A71">
      <w:pPr>
        <w:pStyle w:val="Zkladntextodsazen2"/>
        <w:keepNext/>
        <w:ind w:left="284" w:hanging="284"/>
        <w:rPr>
          <w:rFonts w:ascii="Times New Roman" w:hAnsi="Times New Roman"/>
          <w:b/>
          <w:bCs/>
          <w:szCs w:val="24"/>
          <w:u w:val="single"/>
        </w:rPr>
      </w:pPr>
      <w:r w:rsidRPr="00990DD7">
        <w:rPr>
          <w:rFonts w:ascii="Times New Roman" w:hAnsi="Times New Roman"/>
          <w:b/>
          <w:bCs/>
          <w:szCs w:val="24"/>
          <w:u w:val="single"/>
        </w:rPr>
        <w:t xml:space="preserve">4. Přehled majetkových převodů uskutečněných statutárním městem Plzeň prostřednictvím jednotlivých odborů MMP v roce </w:t>
      </w:r>
      <w:r w:rsidR="0099250F" w:rsidRPr="00990DD7">
        <w:rPr>
          <w:rFonts w:ascii="Times New Roman" w:hAnsi="Times New Roman"/>
          <w:b/>
          <w:bCs/>
          <w:szCs w:val="24"/>
          <w:u w:val="single"/>
        </w:rPr>
        <w:t>201</w:t>
      </w:r>
      <w:r w:rsidR="00C816EB">
        <w:rPr>
          <w:rFonts w:ascii="Times New Roman" w:hAnsi="Times New Roman"/>
          <w:b/>
          <w:bCs/>
          <w:szCs w:val="24"/>
          <w:u w:val="single"/>
        </w:rPr>
        <w:t>6</w:t>
      </w:r>
    </w:p>
    <w:p w:rsidR="00CB6E98" w:rsidRPr="00CD597C" w:rsidRDefault="00CB6E98" w:rsidP="00CB6E98">
      <w:pPr>
        <w:pStyle w:val="Zkladntextodsazen2"/>
        <w:ind w:firstLine="0"/>
        <w:rPr>
          <w:rFonts w:ascii="Times New Roman" w:hAnsi="Times New Roman"/>
          <w:b/>
          <w:bCs/>
          <w:szCs w:val="24"/>
        </w:rPr>
      </w:pPr>
    </w:p>
    <w:p w:rsidR="00CB6E98" w:rsidRPr="00965A58" w:rsidRDefault="00CB6E98" w:rsidP="00CB6E98">
      <w:pPr>
        <w:pStyle w:val="Zkladntextodsazen2"/>
        <w:ind w:firstLine="0"/>
        <w:jc w:val="both"/>
        <w:rPr>
          <w:rFonts w:ascii="Times New Roman" w:hAnsi="Times New Roman"/>
          <w:szCs w:val="24"/>
        </w:rPr>
      </w:pPr>
      <w:r w:rsidRPr="00965A58">
        <w:rPr>
          <w:rFonts w:ascii="Times New Roman" w:hAnsi="Times New Roman"/>
          <w:szCs w:val="24"/>
        </w:rPr>
        <w:t xml:space="preserve">Statutární město Plzeň realizovalo v roce </w:t>
      </w:r>
      <w:r w:rsidR="0099250F">
        <w:rPr>
          <w:rFonts w:ascii="Times New Roman" w:hAnsi="Times New Roman"/>
          <w:szCs w:val="24"/>
        </w:rPr>
        <w:t>201</w:t>
      </w:r>
      <w:r w:rsidR="00C816EB">
        <w:rPr>
          <w:rFonts w:ascii="Times New Roman" w:hAnsi="Times New Roman"/>
          <w:szCs w:val="24"/>
        </w:rPr>
        <w:t>6</w:t>
      </w:r>
      <w:r w:rsidR="0099250F" w:rsidRPr="00965A58">
        <w:rPr>
          <w:rFonts w:ascii="Times New Roman" w:hAnsi="Times New Roman"/>
          <w:szCs w:val="24"/>
        </w:rPr>
        <w:t xml:space="preserve"> </w:t>
      </w:r>
      <w:r w:rsidRPr="00AA59D4">
        <w:rPr>
          <w:rFonts w:ascii="Times New Roman" w:hAnsi="Times New Roman"/>
          <w:szCs w:val="24"/>
        </w:rPr>
        <w:t xml:space="preserve">- </w:t>
      </w:r>
      <w:r w:rsidR="00EC496E" w:rsidRPr="00A53966">
        <w:rPr>
          <w:rFonts w:ascii="Times New Roman" w:hAnsi="Times New Roman"/>
          <w:szCs w:val="24"/>
        </w:rPr>
        <w:t>1</w:t>
      </w:r>
      <w:r w:rsidR="00A53966">
        <w:rPr>
          <w:rFonts w:ascii="Times New Roman" w:hAnsi="Times New Roman"/>
          <w:szCs w:val="24"/>
        </w:rPr>
        <w:t>9</w:t>
      </w:r>
      <w:r w:rsidR="0099250F" w:rsidRPr="00AA59D4">
        <w:rPr>
          <w:rFonts w:ascii="Times New Roman" w:hAnsi="Times New Roman"/>
          <w:szCs w:val="24"/>
        </w:rPr>
        <w:t xml:space="preserve"> </w:t>
      </w:r>
      <w:r w:rsidRPr="00AA59D4">
        <w:rPr>
          <w:rFonts w:ascii="Times New Roman" w:hAnsi="Times New Roman"/>
          <w:szCs w:val="24"/>
        </w:rPr>
        <w:t xml:space="preserve">směnných smluv, </w:t>
      </w:r>
      <w:r w:rsidR="00A53966">
        <w:rPr>
          <w:rFonts w:ascii="Times New Roman" w:hAnsi="Times New Roman"/>
          <w:szCs w:val="24"/>
        </w:rPr>
        <w:t>122</w:t>
      </w:r>
      <w:r w:rsidR="0099250F" w:rsidRPr="00AA59D4">
        <w:rPr>
          <w:rFonts w:ascii="Times New Roman" w:hAnsi="Times New Roman"/>
          <w:szCs w:val="24"/>
        </w:rPr>
        <w:t xml:space="preserve"> </w:t>
      </w:r>
      <w:r w:rsidRPr="00AA59D4">
        <w:rPr>
          <w:rFonts w:ascii="Times New Roman" w:hAnsi="Times New Roman"/>
          <w:szCs w:val="24"/>
        </w:rPr>
        <w:t>kupních smluv, ve kterých bylo město nabyvatelem</w:t>
      </w:r>
      <w:r w:rsidR="003724F6" w:rsidRPr="00AA59D4">
        <w:rPr>
          <w:rFonts w:ascii="Times New Roman" w:hAnsi="Times New Roman"/>
          <w:szCs w:val="24"/>
        </w:rPr>
        <w:t>,</w:t>
      </w:r>
      <w:r w:rsidRPr="00AA59D4">
        <w:rPr>
          <w:rFonts w:ascii="Times New Roman" w:hAnsi="Times New Roman"/>
          <w:szCs w:val="24"/>
        </w:rPr>
        <w:t xml:space="preserve"> </w:t>
      </w:r>
      <w:r w:rsidR="00A53966">
        <w:rPr>
          <w:rFonts w:ascii="Times New Roman" w:hAnsi="Times New Roman"/>
          <w:szCs w:val="24"/>
        </w:rPr>
        <w:t>13</w:t>
      </w:r>
      <w:r w:rsidR="001970ED">
        <w:rPr>
          <w:rFonts w:ascii="Times New Roman" w:hAnsi="Times New Roman"/>
          <w:szCs w:val="24"/>
        </w:rPr>
        <w:t xml:space="preserve"> </w:t>
      </w:r>
      <w:r w:rsidR="00DB5C52">
        <w:rPr>
          <w:rFonts w:ascii="Times New Roman" w:hAnsi="Times New Roman"/>
          <w:szCs w:val="24"/>
        </w:rPr>
        <w:t>darovací</w:t>
      </w:r>
      <w:r w:rsidR="001970ED">
        <w:rPr>
          <w:rFonts w:ascii="Times New Roman" w:hAnsi="Times New Roman"/>
          <w:szCs w:val="24"/>
        </w:rPr>
        <w:t>ch</w:t>
      </w:r>
      <w:r w:rsidR="00DB5C52">
        <w:rPr>
          <w:rFonts w:ascii="Times New Roman" w:hAnsi="Times New Roman"/>
          <w:szCs w:val="24"/>
        </w:rPr>
        <w:t xml:space="preserve"> smluv</w:t>
      </w:r>
      <w:r w:rsidR="001970ED">
        <w:rPr>
          <w:rFonts w:ascii="Times New Roman" w:hAnsi="Times New Roman"/>
          <w:szCs w:val="24"/>
        </w:rPr>
        <w:t xml:space="preserve"> (z toho město obdarovaný </w:t>
      </w:r>
      <w:r w:rsidR="00A53966">
        <w:rPr>
          <w:rFonts w:ascii="Times New Roman" w:hAnsi="Times New Roman"/>
          <w:szCs w:val="24"/>
        </w:rPr>
        <w:t>9</w:t>
      </w:r>
      <w:r w:rsidR="001970ED">
        <w:rPr>
          <w:rFonts w:ascii="Times New Roman" w:hAnsi="Times New Roman"/>
          <w:szCs w:val="24"/>
        </w:rPr>
        <w:t xml:space="preserve"> a město dárce </w:t>
      </w:r>
      <w:r w:rsidR="00A53966">
        <w:rPr>
          <w:rFonts w:ascii="Times New Roman" w:hAnsi="Times New Roman"/>
          <w:szCs w:val="24"/>
        </w:rPr>
        <w:t>4</w:t>
      </w:r>
      <w:r w:rsidR="001970ED">
        <w:rPr>
          <w:rFonts w:ascii="Times New Roman" w:hAnsi="Times New Roman"/>
          <w:szCs w:val="24"/>
        </w:rPr>
        <w:t>)</w:t>
      </w:r>
      <w:r w:rsidR="00DB5C52">
        <w:rPr>
          <w:rFonts w:ascii="Times New Roman" w:hAnsi="Times New Roman"/>
          <w:szCs w:val="24"/>
        </w:rPr>
        <w:t xml:space="preserve"> </w:t>
      </w:r>
      <w:r w:rsidRPr="00AA59D4">
        <w:rPr>
          <w:rFonts w:ascii="Times New Roman" w:hAnsi="Times New Roman"/>
          <w:szCs w:val="24"/>
        </w:rPr>
        <w:t xml:space="preserve">a </w:t>
      </w:r>
      <w:r w:rsidR="00A53966">
        <w:rPr>
          <w:rFonts w:ascii="Times New Roman" w:hAnsi="Times New Roman"/>
          <w:szCs w:val="24"/>
        </w:rPr>
        <w:t>167</w:t>
      </w:r>
      <w:r w:rsidR="0099250F" w:rsidRPr="00AA59D4">
        <w:rPr>
          <w:rFonts w:ascii="Times New Roman" w:hAnsi="Times New Roman"/>
          <w:szCs w:val="24"/>
        </w:rPr>
        <w:t xml:space="preserve"> </w:t>
      </w:r>
      <w:r w:rsidRPr="00AA59D4">
        <w:rPr>
          <w:rFonts w:ascii="Times New Roman" w:hAnsi="Times New Roman"/>
          <w:szCs w:val="24"/>
        </w:rPr>
        <w:t>kupních smluv o prodeji městského majetku.</w:t>
      </w:r>
    </w:p>
    <w:p w:rsidR="00CB6E98" w:rsidRPr="00CD597C" w:rsidRDefault="00CB6E98" w:rsidP="00CB6E98">
      <w:pPr>
        <w:pStyle w:val="Zkladntextodsazen2"/>
        <w:ind w:firstLine="0"/>
        <w:rPr>
          <w:rFonts w:ascii="Times New Roman" w:hAnsi="Times New Roman"/>
          <w:b/>
          <w:bCs/>
          <w:szCs w:val="24"/>
        </w:rPr>
      </w:pPr>
    </w:p>
    <w:p w:rsidR="00CB6E98" w:rsidRPr="007664AA" w:rsidRDefault="00CB6E98" w:rsidP="00F9668B">
      <w:pPr>
        <w:spacing w:before="120"/>
        <w:jc w:val="both"/>
        <w:rPr>
          <w:b/>
          <w:sz w:val="24"/>
          <w:szCs w:val="24"/>
        </w:rPr>
      </w:pPr>
      <w:r w:rsidRPr="007664AA">
        <w:rPr>
          <w:b/>
          <w:sz w:val="24"/>
          <w:szCs w:val="24"/>
        </w:rPr>
        <w:t xml:space="preserve">a) Odbor nabývání majetku MMP v rámci své činnosti během roku </w:t>
      </w:r>
      <w:r w:rsidR="0099250F" w:rsidRPr="007664AA">
        <w:rPr>
          <w:b/>
          <w:sz w:val="24"/>
          <w:szCs w:val="24"/>
        </w:rPr>
        <w:t>201</w:t>
      </w:r>
      <w:r w:rsidR="00C816EB">
        <w:rPr>
          <w:b/>
          <w:sz w:val="24"/>
          <w:szCs w:val="24"/>
        </w:rPr>
        <w:t>6</w:t>
      </w:r>
      <w:r w:rsidR="0099250F" w:rsidRPr="007664AA">
        <w:rPr>
          <w:b/>
          <w:sz w:val="24"/>
          <w:szCs w:val="24"/>
        </w:rPr>
        <w:t xml:space="preserve"> </w:t>
      </w:r>
      <w:r w:rsidRPr="007664AA">
        <w:rPr>
          <w:b/>
          <w:sz w:val="24"/>
          <w:szCs w:val="24"/>
        </w:rPr>
        <w:t xml:space="preserve">realizoval smluvní vztahy, na jejichž základě získal majetek v celkové hodnotě </w:t>
      </w:r>
      <w:r w:rsidR="00A53966">
        <w:rPr>
          <w:b/>
          <w:sz w:val="24"/>
          <w:szCs w:val="24"/>
        </w:rPr>
        <w:t>191</w:t>
      </w:r>
      <w:r w:rsidR="0099250F">
        <w:rPr>
          <w:b/>
          <w:sz w:val="24"/>
          <w:szCs w:val="24"/>
        </w:rPr>
        <w:t> </w:t>
      </w:r>
      <w:r w:rsidR="00E353FA">
        <w:rPr>
          <w:b/>
          <w:sz w:val="24"/>
          <w:szCs w:val="24"/>
        </w:rPr>
        <w:t xml:space="preserve">mil </w:t>
      </w:r>
      <w:r w:rsidRPr="007664AA">
        <w:rPr>
          <w:b/>
          <w:sz w:val="24"/>
          <w:szCs w:val="24"/>
        </w:rPr>
        <w:t>Kč.</w:t>
      </w:r>
    </w:p>
    <w:p w:rsidR="00CB6E98" w:rsidRPr="00C21CB3" w:rsidRDefault="00CB6E98" w:rsidP="00CB6E98">
      <w:pPr>
        <w:pStyle w:val="Zkladntextodsazen2"/>
        <w:ind w:firstLine="0"/>
        <w:jc w:val="both"/>
        <w:rPr>
          <w:rFonts w:ascii="Times New Roman" w:hAnsi="Times New Roman"/>
          <w:szCs w:val="24"/>
        </w:rPr>
      </w:pPr>
    </w:p>
    <w:p w:rsidR="00CB6E98" w:rsidRPr="00C21CB3" w:rsidRDefault="00CB6E98" w:rsidP="00CB6E98">
      <w:pPr>
        <w:pStyle w:val="text"/>
        <w:spacing w:before="0"/>
        <w:ind w:left="142"/>
        <w:jc w:val="both"/>
        <w:rPr>
          <w:szCs w:val="24"/>
        </w:rPr>
      </w:pPr>
      <w:r w:rsidRPr="00C21CB3">
        <w:rPr>
          <w:szCs w:val="24"/>
        </w:rPr>
        <w:t>Tyto finanční prostředky můžeme rozdělit podle způsobu nabytí i podle jednotlivých tříd majetku, tedy podle charakteru nabývaného majetku takto:</w:t>
      </w:r>
    </w:p>
    <w:p w:rsidR="00CB6E98" w:rsidRPr="00C21CB3" w:rsidRDefault="00CB6E98" w:rsidP="00CB6E98">
      <w:pPr>
        <w:rPr>
          <w:sz w:val="24"/>
          <w:szCs w:val="24"/>
        </w:rPr>
      </w:pPr>
    </w:p>
    <w:p w:rsidR="00CB6E98" w:rsidRPr="00C21CB3" w:rsidRDefault="00CB6E98" w:rsidP="00CB6E98">
      <w:pPr>
        <w:pStyle w:val="Zkladntextodsazen2"/>
        <w:tabs>
          <w:tab w:val="left" w:pos="142"/>
        </w:tabs>
        <w:ind w:left="142" w:firstLine="567"/>
        <w:jc w:val="both"/>
        <w:rPr>
          <w:rFonts w:ascii="Times New Roman" w:hAnsi="Times New Roman"/>
          <w:szCs w:val="24"/>
          <w:u w:val="single"/>
        </w:rPr>
      </w:pPr>
      <w:r w:rsidRPr="00C21CB3">
        <w:rPr>
          <w:rFonts w:ascii="Times New Roman" w:hAnsi="Times New Roman"/>
          <w:szCs w:val="24"/>
          <w:u w:val="single"/>
        </w:rPr>
        <w:t xml:space="preserve">Na základě darů a bezúplatných převodů, u nichž </w:t>
      </w:r>
      <w:proofErr w:type="gramStart"/>
      <w:r w:rsidRPr="00C21CB3">
        <w:rPr>
          <w:rFonts w:ascii="Times New Roman" w:hAnsi="Times New Roman"/>
          <w:szCs w:val="24"/>
          <w:u w:val="single"/>
        </w:rPr>
        <w:t>byl</w:t>
      </w:r>
      <w:proofErr w:type="gramEnd"/>
      <w:r w:rsidRPr="00C21CB3">
        <w:rPr>
          <w:rFonts w:ascii="Times New Roman" w:hAnsi="Times New Roman"/>
          <w:szCs w:val="24"/>
          <w:u w:val="single"/>
        </w:rPr>
        <w:t xml:space="preserve"> realizátorem </w:t>
      </w:r>
      <w:proofErr w:type="gramStart"/>
      <w:r w:rsidRPr="00C21CB3">
        <w:rPr>
          <w:rFonts w:ascii="Times New Roman" w:hAnsi="Times New Roman"/>
          <w:szCs w:val="24"/>
          <w:u w:val="single"/>
        </w:rPr>
        <w:t>MAJ</w:t>
      </w:r>
      <w:proofErr w:type="gramEnd"/>
      <w:r w:rsidRPr="00C21CB3">
        <w:rPr>
          <w:rFonts w:ascii="Times New Roman" w:hAnsi="Times New Roman"/>
          <w:szCs w:val="24"/>
          <w:u w:val="single"/>
        </w:rPr>
        <w:t xml:space="preserve"> MMP</w:t>
      </w:r>
      <w:r w:rsidR="00DD2DED" w:rsidRPr="00C21CB3">
        <w:rPr>
          <w:rFonts w:ascii="Times New Roman" w:hAnsi="Times New Roman"/>
          <w:szCs w:val="24"/>
        </w:rPr>
        <w:t>,</w:t>
      </w:r>
      <w:r w:rsidRPr="00C21CB3">
        <w:rPr>
          <w:rFonts w:ascii="Times New Roman" w:hAnsi="Times New Roman"/>
          <w:szCs w:val="24"/>
        </w:rPr>
        <w:t xml:space="preserve"> získalo město </w:t>
      </w:r>
      <w:r w:rsidR="009F6618">
        <w:rPr>
          <w:rFonts w:ascii="Times New Roman" w:hAnsi="Times New Roman"/>
          <w:szCs w:val="24"/>
        </w:rPr>
        <w:t>majetek</w:t>
      </w:r>
      <w:r w:rsidRPr="00C21CB3">
        <w:rPr>
          <w:rFonts w:ascii="Times New Roman" w:hAnsi="Times New Roman"/>
          <w:szCs w:val="24"/>
        </w:rPr>
        <w:t xml:space="preserve"> v hodnotě</w:t>
      </w:r>
      <w:r w:rsidRPr="00C21CB3">
        <w:rPr>
          <w:rFonts w:ascii="Times New Roman" w:hAnsi="Times New Roman"/>
          <w:b/>
          <w:szCs w:val="24"/>
        </w:rPr>
        <w:t xml:space="preserve"> </w:t>
      </w:r>
      <w:r w:rsidR="00934862" w:rsidRPr="00A53966">
        <w:rPr>
          <w:rFonts w:ascii="Times New Roman" w:hAnsi="Times New Roman"/>
          <w:b/>
          <w:szCs w:val="24"/>
        </w:rPr>
        <w:t>11</w:t>
      </w:r>
      <w:r w:rsidR="00A53966" w:rsidRPr="00A53966">
        <w:rPr>
          <w:rFonts w:ascii="Times New Roman" w:hAnsi="Times New Roman"/>
          <w:b/>
          <w:szCs w:val="24"/>
        </w:rPr>
        <w:t>1</w:t>
      </w:r>
      <w:r w:rsidR="0099250F" w:rsidRPr="00A53966">
        <w:rPr>
          <w:rFonts w:ascii="Times New Roman" w:hAnsi="Times New Roman"/>
          <w:b/>
          <w:szCs w:val="24"/>
        </w:rPr>
        <w:t> </w:t>
      </w:r>
      <w:r w:rsidR="00A53966" w:rsidRPr="00A53966">
        <w:rPr>
          <w:rFonts w:ascii="Times New Roman" w:hAnsi="Times New Roman"/>
          <w:b/>
          <w:szCs w:val="24"/>
        </w:rPr>
        <w:t>585</w:t>
      </w:r>
      <w:r w:rsidR="0099250F" w:rsidRPr="00A53966">
        <w:rPr>
          <w:rFonts w:ascii="Times New Roman" w:hAnsi="Times New Roman"/>
          <w:b/>
          <w:szCs w:val="24"/>
        </w:rPr>
        <w:t> </w:t>
      </w:r>
      <w:r w:rsidR="00446BA9">
        <w:rPr>
          <w:rFonts w:ascii="Times New Roman" w:hAnsi="Times New Roman"/>
          <w:b/>
          <w:szCs w:val="24"/>
        </w:rPr>
        <w:t>880</w:t>
      </w:r>
      <w:r w:rsidR="0099250F">
        <w:rPr>
          <w:rFonts w:ascii="Times New Roman" w:hAnsi="Times New Roman"/>
          <w:b/>
          <w:szCs w:val="24"/>
        </w:rPr>
        <w:t> </w:t>
      </w:r>
      <w:r w:rsidRPr="00C21CB3">
        <w:rPr>
          <w:rFonts w:ascii="Times New Roman" w:hAnsi="Times New Roman"/>
          <w:b/>
          <w:szCs w:val="24"/>
        </w:rPr>
        <w:t>Kč</w:t>
      </w:r>
      <w:r w:rsidRPr="00C21CB3">
        <w:rPr>
          <w:rFonts w:ascii="Times New Roman" w:hAnsi="Times New Roman"/>
          <w:szCs w:val="24"/>
        </w:rPr>
        <w:t>.</w:t>
      </w:r>
    </w:p>
    <w:p w:rsidR="00C81B8F" w:rsidRPr="00C21CB3" w:rsidRDefault="00C81B8F" w:rsidP="00C81B8F">
      <w:pPr>
        <w:rPr>
          <w:sz w:val="24"/>
          <w:szCs w:val="24"/>
        </w:rPr>
      </w:pPr>
    </w:p>
    <w:p w:rsidR="00CB6E98" w:rsidRPr="00445272" w:rsidRDefault="00CB6E98" w:rsidP="00CB6E98">
      <w:pPr>
        <w:pStyle w:val="Zkladntextodsazen2"/>
        <w:tabs>
          <w:tab w:val="left" w:pos="709"/>
        </w:tabs>
        <w:ind w:left="142" w:firstLine="567"/>
        <w:jc w:val="both"/>
        <w:rPr>
          <w:rFonts w:ascii="Times New Roman" w:hAnsi="Times New Roman"/>
          <w:szCs w:val="24"/>
        </w:rPr>
      </w:pPr>
      <w:r w:rsidRPr="00445272">
        <w:rPr>
          <w:rFonts w:ascii="Times New Roman" w:hAnsi="Times New Roman"/>
          <w:szCs w:val="24"/>
          <w:u w:val="single"/>
        </w:rPr>
        <w:lastRenderedPageBreak/>
        <w:t xml:space="preserve">Na základě kupních smluv, u nichž </w:t>
      </w:r>
      <w:proofErr w:type="gramStart"/>
      <w:r w:rsidRPr="00445272">
        <w:rPr>
          <w:rFonts w:ascii="Times New Roman" w:hAnsi="Times New Roman"/>
          <w:szCs w:val="24"/>
          <w:u w:val="single"/>
        </w:rPr>
        <w:t>byl</w:t>
      </w:r>
      <w:proofErr w:type="gramEnd"/>
      <w:r w:rsidRPr="00445272">
        <w:rPr>
          <w:rFonts w:ascii="Times New Roman" w:hAnsi="Times New Roman"/>
          <w:szCs w:val="24"/>
          <w:u w:val="single"/>
        </w:rPr>
        <w:t xml:space="preserve"> realizátorem </w:t>
      </w:r>
      <w:proofErr w:type="gramStart"/>
      <w:r w:rsidRPr="00445272">
        <w:rPr>
          <w:rFonts w:ascii="Times New Roman" w:hAnsi="Times New Roman"/>
          <w:szCs w:val="24"/>
          <w:u w:val="single"/>
        </w:rPr>
        <w:t>MAJ</w:t>
      </w:r>
      <w:proofErr w:type="gramEnd"/>
      <w:r w:rsidRPr="00445272">
        <w:rPr>
          <w:rFonts w:ascii="Times New Roman" w:hAnsi="Times New Roman"/>
          <w:szCs w:val="24"/>
          <w:u w:val="single"/>
        </w:rPr>
        <w:t xml:space="preserve"> MMP</w:t>
      </w:r>
      <w:r w:rsidR="00DD2DED" w:rsidRPr="00445272">
        <w:rPr>
          <w:rFonts w:ascii="Times New Roman" w:hAnsi="Times New Roman"/>
          <w:szCs w:val="24"/>
        </w:rPr>
        <w:t>,</w:t>
      </w:r>
      <w:r w:rsidRPr="00445272">
        <w:rPr>
          <w:rFonts w:ascii="Times New Roman" w:hAnsi="Times New Roman"/>
          <w:szCs w:val="24"/>
        </w:rPr>
        <w:t xml:space="preserve"> město získalo v roce </w:t>
      </w:r>
      <w:r w:rsidR="0099250F" w:rsidRPr="00445272">
        <w:rPr>
          <w:rFonts w:ascii="Times New Roman" w:hAnsi="Times New Roman"/>
          <w:szCs w:val="24"/>
        </w:rPr>
        <w:t>201</w:t>
      </w:r>
      <w:r w:rsidR="00C816EB">
        <w:rPr>
          <w:rFonts w:ascii="Times New Roman" w:hAnsi="Times New Roman"/>
          <w:szCs w:val="24"/>
        </w:rPr>
        <w:t>6</w:t>
      </w:r>
      <w:r w:rsidR="0099250F" w:rsidRPr="00445272">
        <w:rPr>
          <w:rFonts w:ascii="Times New Roman" w:hAnsi="Times New Roman"/>
          <w:szCs w:val="24"/>
        </w:rPr>
        <w:t xml:space="preserve"> </w:t>
      </w:r>
      <w:r w:rsidRPr="00445272">
        <w:rPr>
          <w:rFonts w:ascii="Times New Roman" w:hAnsi="Times New Roman"/>
          <w:szCs w:val="24"/>
        </w:rPr>
        <w:t>majetek v hodnotě</w:t>
      </w:r>
      <w:r w:rsidRPr="00445272">
        <w:rPr>
          <w:rFonts w:ascii="Times New Roman" w:hAnsi="Times New Roman"/>
          <w:b/>
          <w:szCs w:val="24"/>
        </w:rPr>
        <w:t xml:space="preserve"> </w:t>
      </w:r>
      <w:r w:rsidR="00A53966" w:rsidRPr="00A53966">
        <w:rPr>
          <w:rFonts w:ascii="Times New Roman" w:hAnsi="Times New Roman"/>
          <w:b/>
          <w:szCs w:val="24"/>
        </w:rPr>
        <w:t>74</w:t>
      </w:r>
      <w:r w:rsidR="0027681F" w:rsidRPr="00A53966">
        <w:rPr>
          <w:rFonts w:ascii="Times New Roman" w:hAnsi="Times New Roman"/>
          <w:b/>
          <w:szCs w:val="24"/>
        </w:rPr>
        <w:t> </w:t>
      </w:r>
      <w:r w:rsidR="00A53966" w:rsidRPr="00A53966">
        <w:rPr>
          <w:rFonts w:ascii="Times New Roman" w:hAnsi="Times New Roman"/>
          <w:b/>
          <w:szCs w:val="24"/>
        </w:rPr>
        <w:t>007</w:t>
      </w:r>
      <w:r w:rsidR="0027681F" w:rsidRPr="00A53966">
        <w:rPr>
          <w:rFonts w:ascii="Times New Roman" w:hAnsi="Times New Roman"/>
          <w:b/>
          <w:szCs w:val="24"/>
        </w:rPr>
        <w:t> </w:t>
      </w:r>
      <w:r w:rsidR="00A53966" w:rsidRPr="00A53966">
        <w:rPr>
          <w:rFonts w:ascii="Times New Roman" w:hAnsi="Times New Roman"/>
          <w:b/>
          <w:szCs w:val="24"/>
        </w:rPr>
        <w:t>58</w:t>
      </w:r>
      <w:r w:rsidR="00A53966">
        <w:rPr>
          <w:rFonts w:ascii="Times New Roman" w:hAnsi="Times New Roman"/>
          <w:b/>
          <w:szCs w:val="24"/>
        </w:rPr>
        <w:t>5</w:t>
      </w:r>
      <w:r w:rsidR="0027681F" w:rsidRPr="00A53966">
        <w:rPr>
          <w:rFonts w:ascii="Times New Roman" w:hAnsi="Times New Roman"/>
          <w:b/>
          <w:szCs w:val="24"/>
        </w:rPr>
        <w:t> </w:t>
      </w:r>
      <w:r w:rsidRPr="00A53966">
        <w:rPr>
          <w:rFonts w:ascii="Times New Roman" w:hAnsi="Times New Roman"/>
          <w:b/>
          <w:szCs w:val="24"/>
        </w:rPr>
        <w:t>Kč</w:t>
      </w:r>
      <w:r w:rsidRPr="00A53966">
        <w:rPr>
          <w:rFonts w:ascii="Times New Roman" w:hAnsi="Times New Roman"/>
          <w:szCs w:val="24"/>
        </w:rPr>
        <w:t xml:space="preserve"> – tuto</w:t>
      </w:r>
      <w:r w:rsidRPr="00445272">
        <w:rPr>
          <w:rFonts w:ascii="Times New Roman" w:hAnsi="Times New Roman"/>
          <w:szCs w:val="24"/>
        </w:rPr>
        <w:t xml:space="preserve"> částku lze podle charakteru nabývaného majetku rozdělit na zisk:</w:t>
      </w:r>
    </w:p>
    <w:p w:rsidR="00CB6E98" w:rsidRPr="00445272" w:rsidRDefault="00CB6E98" w:rsidP="00AF7E1D">
      <w:pPr>
        <w:pStyle w:val="text"/>
        <w:tabs>
          <w:tab w:val="right" w:pos="-1276"/>
          <w:tab w:val="left" w:pos="2127"/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a) budov -</w:t>
      </w:r>
      <w:r w:rsidRPr="00445272">
        <w:rPr>
          <w:szCs w:val="24"/>
        </w:rPr>
        <w:tab/>
        <w:t xml:space="preserve">v hodnotě </w:t>
      </w:r>
      <w:r w:rsidRPr="00445272">
        <w:rPr>
          <w:szCs w:val="24"/>
        </w:rPr>
        <w:tab/>
      </w:r>
      <w:r w:rsidR="00A53966">
        <w:rPr>
          <w:szCs w:val="24"/>
        </w:rPr>
        <w:t>788 171</w:t>
      </w:r>
      <w:r w:rsidR="0027681F" w:rsidRPr="00445272">
        <w:rPr>
          <w:szCs w:val="24"/>
        </w:rPr>
        <w:t> </w:t>
      </w:r>
      <w:r w:rsidRPr="00445272">
        <w:rPr>
          <w:szCs w:val="24"/>
        </w:rPr>
        <w:t>Kč</w:t>
      </w:r>
    </w:p>
    <w:p w:rsidR="00CB6E98" w:rsidRPr="00445272" w:rsidRDefault="00CB6E98" w:rsidP="00AF7E1D">
      <w:pPr>
        <w:pStyle w:val="text"/>
        <w:tabs>
          <w:tab w:val="left" w:pos="-1560"/>
          <w:tab w:val="right" w:pos="-1418"/>
          <w:tab w:val="left" w:pos="2127"/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b) pozemků -</w:t>
      </w:r>
      <w:r w:rsidRPr="00445272">
        <w:rPr>
          <w:szCs w:val="24"/>
        </w:rPr>
        <w:tab/>
        <w:t>v hodnotě</w:t>
      </w:r>
      <w:r w:rsidRPr="00445272">
        <w:rPr>
          <w:szCs w:val="24"/>
        </w:rPr>
        <w:tab/>
      </w:r>
      <w:r w:rsidR="00A53966">
        <w:rPr>
          <w:szCs w:val="24"/>
        </w:rPr>
        <w:t>71 493 545</w:t>
      </w:r>
      <w:r w:rsidR="0027681F" w:rsidRPr="00445272">
        <w:rPr>
          <w:szCs w:val="24"/>
        </w:rPr>
        <w:t> </w:t>
      </w:r>
      <w:r w:rsidRPr="00445272">
        <w:rPr>
          <w:szCs w:val="24"/>
        </w:rPr>
        <w:t>Kč</w:t>
      </w:r>
    </w:p>
    <w:p w:rsidR="00C8756F" w:rsidRPr="00445272" w:rsidRDefault="00C8756F" w:rsidP="00AF7E1D">
      <w:pPr>
        <w:pStyle w:val="text"/>
        <w:tabs>
          <w:tab w:val="left" w:pos="-1560"/>
          <w:tab w:val="right" w:pos="-1418"/>
          <w:tab w:val="left" w:pos="2127"/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c) TDI</w:t>
      </w:r>
      <w:r w:rsidRPr="00445272">
        <w:rPr>
          <w:szCs w:val="24"/>
        </w:rPr>
        <w:tab/>
        <w:t>v hodnotě</w:t>
      </w:r>
      <w:r w:rsidRPr="00445272">
        <w:rPr>
          <w:szCs w:val="24"/>
        </w:rPr>
        <w:tab/>
      </w:r>
      <w:r w:rsidR="00A53966">
        <w:rPr>
          <w:szCs w:val="24"/>
        </w:rPr>
        <w:t>1 725 869</w:t>
      </w:r>
      <w:r w:rsidRPr="00445272">
        <w:rPr>
          <w:szCs w:val="24"/>
        </w:rPr>
        <w:t> Kč</w:t>
      </w:r>
    </w:p>
    <w:p w:rsidR="00CB6E98" w:rsidRPr="00445272" w:rsidRDefault="00CB6E98" w:rsidP="00CB6E98">
      <w:pPr>
        <w:pStyle w:val="text"/>
        <w:tabs>
          <w:tab w:val="right" w:pos="-1418"/>
          <w:tab w:val="left" w:pos="2127"/>
          <w:tab w:val="right" w:pos="5387"/>
        </w:tabs>
        <w:spacing w:before="120"/>
        <w:rPr>
          <w:szCs w:val="24"/>
        </w:rPr>
      </w:pPr>
    </w:p>
    <w:p w:rsidR="00CB6E98" w:rsidRPr="00445272" w:rsidRDefault="00CB6E98" w:rsidP="00CB6E98">
      <w:pPr>
        <w:pStyle w:val="Zkladntextodsazen2"/>
        <w:tabs>
          <w:tab w:val="left" w:pos="709"/>
        </w:tabs>
        <w:ind w:left="142" w:firstLine="567"/>
        <w:jc w:val="both"/>
        <w:rPr>
          <w:rFonts w:ascii="Times New Roman" w:hAnsi="Times New Roman"/>
          <w:szCs w:val="24"/>
        </w:rPr>
      </w:pPr>
      <w:r w:rsidRPr="00445272">
        <w:rPr>
          <w:rFonts w:ascii="Times New Roman" w:hAnsi="Times New Roman"/>
          <w:szCs w:val="24"/>
          <w:u w:val="single"/>
        </w:rPr>
        <w:t xml:space="preserve">Na základě směnných smluv, u nichž </w:t>
      </w:r>
      <w:proofErr w:type="gramStart"/>
      <w:r w:rsidRPr="00445272">
        <w:rPr>
          <w:rFonts w:ascii="Times New Roman" w:hAnsi="Times New Roman"/>
          <w:szCs w:val="24"/>
          <w:u w:val="single"/>
        </w:rPr>
        <w:t>byl</w:t>
      </w:r>
      <w:proofErr w:type="gramEnd"/>
      <w:r w:rsidRPr="00445272">
        <w:rPr>
          <w:rFonts w:ascii="Times New Roman" w:hAnsi="Times New Roman"/>
          <w:szCs w:val="24"/>
          <w:u w:val="single"/>
        </w:rPr>
        <w:t xml:space="preserve"> realizátorem </w:t>
      </w:r>
      <w:proofErr w:type="gramStart"/>
      <w:r w:rsidRPr="00445272">
        <w:rPr>
          <w:rFonts w:ascii="Times New Roman" w:hAnsi="Times New Roman"/>
          <w:szCs w:val="24"/>
          <w:u w:val="single"/>
        </w:rPr>
        <w:t>MAJ</w:t>
      </w:r>
      <w:proofErr w:type="gramEnd"/>
      <w:r w:rsidRPr="00445272">
        <w:rPr>
          <w:rFonts w:ascii="Times New Roman" w:hAnsi="Times New Roman"/>
          <w:szCs w:val="24"/>
          <w:u w:val="single"/>
        </w:rPr>
        <w:t xml:space="preserve"> MMP</w:t>
      </w:r>
      <w:r w:rsidR="00DD2DED" w:rsidRPr="00445272">
        <w:rPr>
          <w:rFonts w:ascii="Times New Roman" w:hAnsi="Times New Roman"/>
          <w:szCs w:val="24"/>
        </w:rPr>
        <w:t>,</w:t>
      </w:r>
      <w:r w:rsidRPr="00445272">
        <w:rPr>
          <w:rFonts w:ascii="Times New Roman" w:hAnsi="Times New Roman"/>
          <w:szCs w:val="24"/>
        </w:rPr>
        <w:t xml:space="preserve"> město získalo v roce </w:t>
      </w:r>
      <w:r w:rsidR="0099250F" w:rsidRPr="00445272">
        <w:rPr>
          <w:rFonts w:ascii="Times New Roman" w:hAnsi="Times New Roman"/>
          <w:szCs w:val="24"/>
        </w:rPr>
        <w:t>201</w:t>
      </w:r>
      <w:r w:rsidR="00C816EB">
        <w:rPr>
          <w:rFonts w:ascii="Times New Roman" w:hAnsi="Times New Roman"/>
          <w:szCs w:val="24"/>
        </w:rPr>
        <w:t>6</w:t>
      </w:r>
      <w:r w:rsidR="0099250F" w:rsidRPr="00445272">
        <w:rPr>
          <w:rFonts w:ascii="Times New Roman" w:hAnsi="Times New Roman"/>
          <w:szCs w:val="24"/>
        </w:rPr>
        <w:t xml:space="preserve"> </w:t>
      </w:r>
      <w:r w:rsidRPr="00445272">
        <w:rPr>
          <w:rFonts w:ascii="Times New Roman" w:hAnsi="Times New Roman"/>
          <w:szCs w:val="24"/>
        </w:rPr>
        <w:t xml:space="preserve">majetek v hodnotě </w:t>
      </w:r>
      <w:r w:rsidR="00A53966">
        <w:rPr>
          <w:rFonts w:ascii="Times New Roman" w:hAnsi="Times New Roman"/>
          <w:b/>
          <w:szCs w:val="24"/>
        </w:rPr>
        <w:t>4 105 250</w:t>
      </w:r>
      <w:r w:rsidR="0099250F" w:rsidRPr="00445272">
        <w:rPr>
          <w:rFonts w:ascii="Times New Roman" w:hAnsi="Times New Roman"/>
          <w:b/>
          <w:szCs w:val="24"/>
        </w:rPr>
        <w:t> </w:t>
      </w:r>
      <w:r w:rsidRPr="00445272">
        <w:rPr>
          <w:rFonts w:ascii="Times New Roman" w:hAnsi="Times New Roman"/>
          <w:b/>
          <w:szCs w:val="24"/>
        </w:rPr>
        <w:t>Kč</w:t>
      </w:r>
      <w:r w:rsidRPr="00445272">
        <w:rPr>
          <w:rFonts w:ascii="Times New Roman" w:hAnsi="Times New Roman"/>
          <w:szCs w:val="24"/>
        </w:rPr>
        <w:t xml:space="preserve"> – tuto částku lze podle charakteru nabývaného majetku rozdělit na zisk:</w:t>
      </w:r>
    </w:p>
    <w:p w:rsidR="00CB6E98" w:rsidRPr="00445272" w:rsidRDefault="00CB6E98" w:rsidP="00AF7E1D">
      <w:pPr>
        <w:pStyle w:val="text"/>
        <w:tabs>
          <w:tab w:val="right" w:pos="-1276"/>
          <w:tab w:val="left" w:pos="2127"/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a) budov -</w:t>
      </w:r>
      <w:r w:rsidRPr="00445272">
        <w:rPr>
          <w:szCs w:val="24"/>
        </w:rPr>
        <w:tab/>
        <w:t xml:space="preserve">v hodnotě </w:t>
      </w:r>
      <w:r w:rsidRPr="00445272">
        <w:rPr>
          <w:szCs w:val="24"/>
        </w:rPr>
        <w:tab/>
      </w:r>
      <w:r w:rsidR="0099250F" w:rsidRPr="00CA1DB6">
        <w:rPr>
          <w:szCs w:val="24"/>
        </w:rPr>
        <w:t>0</w:t>
      </w:r>
      <w:r w:rsidR="0099250F" w:rsidRPr="00445272">
        <w:rPr>
          <w:szCs w:val="24"/>
        </w:rPr>
        <w:t> </w:t>
      </w:r>
      <w:r w:rsidRPr="00445272">
        <w:rPr>
          <w:szCs w:val="24"/>
        </w:rPr>
        <w:t>Kč</w:t>
      </w:r>
    </w:p>
    <w:p w:rsidR="00CB6E98" w:rsidRDefault="00CB6E98" w:rsidP="00AF7E1D">
      <w:pPr>
        <w:pStyle w:val="text"/>
        <w:tabs>
          <w:tab w:val="right" w:pos="-1418"/>
          <w:tab w:val="left" w:pos="2127"/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b) pozemků -</w:t>
      </w:r>
      <w:r w:rsidRPr="00445272">
        <w:rPr>
          <w:szCs w:val="24"/>
        </w:rPr>
        <w:tab/>
        <w:t>v hodnotě</w:t>
      </w:r>
      <w:r w:rsidRPr="00445272">
        <w:rPr>
          <w:szCs w:val="24"/>
        </w:rPr>
        <w:tab/>
      </w:r>
      <w:r w:rsidR="00C77AAF">
        <w:rPr>
          <w:szCs w:val="24"/>
        </w:rPr>
        <w:t>3 508 125</w:t>
      </w:r>
      <w:r w:rsidR="0099250F" w:rsidRPr="00445272">
        <w:rPr>
          <w:szCs w:val="24"/>
        </w:rPr>
        <w:t> </w:t>
      </w:r>
      <w:r w:rsidRPr="00445272">
        <w:rPr>
          <w:szCs w:val="24"/>
        </w:rPr>
        <w:t>Kč</w:t>
      </w:r>
    </w:p>
    <w:p w:rsidR="00A53966" w:rsidRPr="00445272" w:rsidRDefault="00A53966" w:rsidP="00A53966">
      <w:pPr>
        <w:pStyle w:val="text"/>
        <w:tabs>
          <w:tab w:val="left" w:pos="-1560"/>
          <w:tab w:val="right" w:pos="-1418"/>
          <w:tab w:val="left" w:pos="2127"/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c) TDI</w:t>
      </w:r>
      <w:r w:rsidRPr="00445272">
        <w:rPr>
          <w:szCs w:val="24"/>
        </w:rPr>
        <w:tab/>
        <w:t>v hodnotě</w:t>
      </w:r>
      <w:r w:rsidRPr="00445272">
        <w:rPr>
          <w:szCs w:val="24"/>
        </w:rPr>
        <w:tab/>
      </w:r>
      <w:r w:rsidR="00C77AAF">
        <w:rPr>
          <w:szCs w:val="24"/>
        </w:rPr>
        <w:t>597 125</w:t>
      </w:r>
      <w:r w:rsidRPr="00445272">
        <w:rPr>
          <w:szCs w:val="24"/>
        </w:rPr>
        <w:t> Kč</w:t>
      </w:r>
    </w:p>
    <w:p w:rsidR="00CB6E98" w:rsidRPr="00445272" w:rsidRDefault="00CB6E98" w:rsidP="00CB6E98">
      <w:pPr>
        <w:pStyle w:val="Zkladntextodsazen2"/>
        <w:spacing w:before="120"/>
        <w:rPr>
          <w:rFonts w:ascii="Times New Roman" w:hAnsi="Times New Roman"/>
          <w:sz w:val="16"/>
          <w:szCs w:val="16"/>
        </w:rPr>
      </w:pPr>
    </w:p>
    <w:p w:rsidR="00CB6E98" w:rsidRPr="00445272" w:rsidRDefault="00CB6E98" w:rsidP="00CB6E98">
      <w:pPr>
        <w:pStyle w:val="text"/>
        <w:keepNext/>
        <w:spacing w:before="0"/>
        <w:ind w:left="142"/>
        <w:rPr>
          <w:szCs w:val="24"/>
        </w:rPr>
      </w:pPr>
      <w:r w:rsidRPr="00445272">
        <w:rPr>
          <w:szCs w:val="24"/>
        </w:rPr>
        <w:t xml:space="preserve">V souvislosti s nabytím výše uvedeného majetku </w:t>
      </w:r>
      <w:proofErr w:type="gramStart"/>
      <w:r w:rsidRPr="00445272">
        <w:rPr>
          <w:szCs w:val="24"/>
        </w:rPr>
        <w:t>vynaložil MAJ</w:t>
      </w:r>
      <w:proofErr w:type="gramEnd"/>
      <w:r w:rsidRPr="00445272">
        <w:rPr>
          <w:szCs w:val="24"/>
        </w:rPr>
        <w:t xml:space="preserve"> MMP v roce </w:t>
      </w:r>
      <w:r w:rsidR="0099250F" w:rsidRPr="00445272">
        <w:rPr>
          <w:szCs w:val="24"/>
        </w:rPr>
        <w:t>201</w:t>
      </w:r>
      <w:r w:rsidR="00C816EB">
        <w:rPr>
          <w:szCs w:val="24"/>
        </w:rPr>
        <w:t>6</w:t>
      </w:r>
      <w:r w:rsidR="0099250F" w:rsidRPr="00445272">
        <w:rPr>
          <w:szCs w:val="24"/>
        </w:rPr>
        <w:t xml:space="preserve"> </w:t>
      </w:r>
      <w:r w:rsidRPr="00445272">
        <w:rPr>
          <w:szCs w:val="24"/>
        </w:rPr>
        <w:t>náklady na:</w:t>
      </w:r>
    </w:p>
    <w:p w:rsidR="00CB6E98" w:rsidRPr="00445272" w:rsidRDefault="00CB6E98" w:rsidP="00AF7E1D">
      <w:pPr>
        <w:pStyle w:val="text"/>
        <w:tabs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a) znalecké posudky -</w:t>
      </w:r>
      <w:r w:rsidRPr="00445272">
        <w:rPr>
          <w:szCs w:val="24"/>
        </w:rPr>
        <w:tab/>
      </w:r>
      <w:r w:rsidR="00C77AAF">
        <w:rPr>
          <w:szCs w:val="24"/>
        </w:rPr>
        <w:t>400 404</w:t>
      </w:r>
      <w:r w:rsidR="0099250F" w:rsidRPr="00445272">
        <w:rPr>
          <w:szCs w:val="24"/>
        </w:rPr>
        <w:t> </w:t>
      </w:r>
      <w:r w:rsidRPr="00445272">
        <w:rPr>
          <w:szCs w:val="24"/>
        </w:rPr>
        <w:t>Kč</w:t>
      </w:r>
    </w:p>
    <w:p w:rsidR="00CB6E98" w:rsidRPr="00445272" w:rsidRDefault="00CB6E98" w:rsidP="00AF7E1D">
      <w:pPr>
        <w:pStyle w:val="text"/>
        <w:tabs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b) geometrické plány -</w:t>
      </w:r>
      <w:r w:rsidRPr="00445272">
        <w:rPr>
          <w:szCs w:val="24"/>
        </w:rPr>
        <w:tab/>
      </w:r>
      <w:r w:rsidR="00C77AAF">
        <w:rPr>
          <w:szCs w:val="24"/>
        </w:rPr>
        <w:t>182 205</w:t>
      </w:r>
      <w:r w:rsidR="0099250F" w:rsidRPr="00445272">
        <w:rPr>
          <w:szCs w:val="24"/>
        </w:rPr>
        <w:t> </w:t>
      </w:r>
      <w:r w:rsidRPr="00445272">
        <w:rPr>
          <w:szCs w:val="24"/>
        </w:rPr>
        <w:t>Kč</w:t>
      </w:r>
    </w:p>
    <w:p w:rsidR="00CB6E98" w:rsidRPr="00445272" w:rsidRDefault="00CB6E98" w:rsidP="00CB6E98">
      <w:pPr>
        <w:pStyle w:val="text"/>
        <w:tabs>
          <w:tab w:val="right" w:pos="5387"/>
        </w:tabs>
        <w:spacing w:before="0"/>
        <w:rPr>
          <w:sz w:val="16"/>
          <w:szCs w:val="16"/>
        </w:rPr>
      </w:pPr>
    </w:p>
    <w:p w:rsidR="00CB6E98" w:rsidRPr="00C21CB3" w:rsidRDefault="00CB6E98" w:rsidP="00CB6E98">
      <w:pPr>
        <w:pStyle w:val="text"/>
        <w:tabs>
          <w:tab w:val="right" w:pos="5387"/>
        </w:tabs>
        <w:spacing w:before="0"/>
        <w:ind w:left="142"/>
        <w:jc w:val="both"/>
        <w:rPr>
          <w:szCs w:val="24"/>
        </w:rPr>
      </w:pPr>
      <w:r w:rsidRPr="00445272">
        <w:rPr>
          <w:szCs w:val="24"/>
        </w:rPr>
        <w:t xml:space="preserve">V souvislosti s majetkovou přípravou pro investiční výstavbu </w:t>
      </w:r>
      <w:proofErr w:type="gramStart"/>
      <w:r w:rsidRPr="00445272">
        <w:rPr>
          <w:szCs w:val="24"/>
        </w:rPr>
        <w:t>uzavřel</w:t>
      </w:r>
      <w:proofErr w:type="gramEnd"/>
      <w:r w:rsidRPr="00445272">
        <w:rPr>
          <w:szCs w:val="24"/>
        </w:rPr>
        <w:t xml:space="preserve"> </w:t>
      </w:r>
      <w:r w:rsidR="00DD2DED" w:rsidRPr="00445272">
        <w:rPr>
          <w:szCs w:val="24"/>
        </w:rPr>
        <w:t xml:space="preserve">v roce </w:t>
      </w:r>
      <w:r w:rsidR="00D639C4" w:rsidRPr="00445272">
        <w:rPr>
          <w:szCs w:val="24"/>
        </w:rPr>
        <w:t>201</w:t>
      </w:r>
      <w:r w:rsidR="00C816EB">
        <w:rPr>
          <w:szCs w:val="24"/>
        </w:rPr>
        <w:t>6</w:t>
      </w:r>
      <w:r w:rsidR="00D639C4" w:rsidRPr="00445272">
        <w:rPr>
          <w:szCs w:val="24"/>
        </w:rPr>
        <w:t xml:space="preserve"> </w:t>
      </w:r>
      <w:proofErr w:type="gramStart"/>
      <w:r w:rsidRPr="00445272">
        <w:rPr>
          <w:szCs w:val="24"/>
        </w:rPr>
        <w:t>MAJ</w:t>
      </w:r>
      <w:proofErr w:type="gramEnd"/>
      <w:r w:rsidRPr="00445272">
        <w:rPr>
          <w:szCs w:val="24"/>
        </w:rPr>
        <w:t xml:space="preserve"> MMP celkem </w:t>
      </w:r>
      <w:r w:rsidR="001857CC">
        <w:rPr>
          <w:szCs w:val="24"/>
        </w:rPr>
        <w:t>13</w:t>
      </w:r>
      <w:r w:rsidR="00875F83" w:rsidRPr="00445272">
        <w:rPr>
          <w:szCs w:val="24"/>
        </w:rPr>
        <w:t> </w:t>
      </w:r>
      <w:r w:rsidRPr="00445272">
        <w:rPr>
          <w:szCs w:val="24"/>
        </w:rPr>
        <w:t>nájemní</w:t>
      </w:r>
      <w:r w:rsidR="00AF016F" w:rsidRPr="00445272">
        <w:rPr>
          <w:szCs w:val="24"/>
        </w:rPr>
        <w:t>ch</w:t>
      </w:r>
      <w:r w:rsidRPr="00445272">
        <w:rPr>
          <w:szCs w:val="24"/>
        </w:rPr>
        <w:t xml:space="preserve"> smluv pro investiční výstavbu. Jedná se o nájem pozemků jiných vlastníků, které statutární město Plzeň potřebuje pro investiční výstavbu. V rámci </w:t>
      </w:r>
      <w:r w:rsidR="00DD2DED" w:rsidRPr="00445272">
        <w:rPr>
          <w:szCs w:val="24"/>
        </w:rPr>
        <w:t>uzavřených platných nájemních</w:t>
      </w:r>
      <w:r w:rsidRPr="00445272">
        <w:rPr>
          <w:szCs w:val="24"/>
        </w:rPr>
        <w:t xml:space="preserve"> vztahů </w:t>
      </w:r>
      <w:r w:rsidR="0043710C" w:rsidRPr="00445272">
        <w:rPr>
          <w:szCs w:val="24"/>
        </w:rPr>
        <w:t>pro </w:t>
      </w:r>
      <w:r w:rsidR="00DD2DED" w:rsidRPr="00445272">
        <w:rPr>
          <w:szCs w:val="24"/>
        </w:rPr>
        <w:t xml:space="preserve">investiční výstavbu </w:t>
      </w:r>
      <w:r w:rsidRPr="00445272">
        <w:rPr>
          <w:szCs w:val="24"/>
        </w:rPr>
        <w:t xml:space="preserve">bylo uhrazeno v roce </w:t>
      </w:r>
      <w:r w:rsidR="0099250F" w:rsidRPr="00445272">
        <w:rPr>
          <w:szCs w:val="24"/>
        </w:rPr>
        <w:t>201</w:t>
      </w:r>
      <w:r w:rsidR="00C816EB">
        <w:rPr>
          <w:szCs w:val="24"/>
        </w:rPr>
        <w:t>6</w:t>
      </w:r>
      <w:r w:rsidR="0099250F" w:rsidRPr="00445272">
        <w:rPr>
          <w:szCs w:val="24"/>
        </w:rPr>
        <w:t xml:space="preserve"> </w:t>
      </w:r>
      <w:r w:rsidRPr="00445272">
        <w:rPr>
          <w:szCs w:val="24"/>
        </w:rPr>
        <w:t>nájemn</w:t>
      </w:r>
      <w:r w:rsidRPr="00C21CB3">
        <w:rPr>
          <w:szCs w:val="24"/>
        </w:rPr>
        <w:t xml:space="preserve">é ve výši </w:t>
      </w:r>
      <w:r w:rsidR="00C77AAF">
        <w:rPr>
          <w:szCs w:val="24"/>
        </w:rPr>
        <w:t>1 280 837,70</w:t>
      </w:r>
      <w:r w:rsidR="0099250F">
        <w:rPr>
          <w:szCs w:val="24"/>
        </w:rPr>
        <w:t> </w:t>
      </w:r>
      <w:r w:rsidRPr="00C21CB3">
        <w:rPr>
          <w:szCs w:val="24"/>
        </w:rPr>
        <w:t>Kč.</w:t>
      </w:r>
    </w:p>
    <w:p w:rsidR="00CB6E98" w:rsidRPr="00AA59D4" w:rsidRDefault="00CB6E98" w:rsidP="00CB6E98">
      <w:pPr>
        <w:pStyle w:val="text"/>
        <w:tabs>
          <w:tab w:val="right" w:pos="5387"/>
        </w:tabs>
        <w:spacing w:before="0"/>
        <w:jc w:val="both"/>
        <w:rPr>
          <w:szCs w:val="24"/>
          <w:highlight w:val="yellow"/>
        </w:rPr>
      </w:pPr>
    </w:p>
    <w:p w:rsidR="00CB6E98" w:rsidRPr="00F813D5" w:rsidRDefault="00CB6E98" w:rsidP="00CB6E98">
      <w:pPr>
        <w:pStyle w:val="text"/>
        <w:tabs>
          <w:tab w:val="right" w:pos="5387"/>
        </w:tabs>
        <w:spacing w:before="0"/>
        <w:jc w:val="both"/>
        <w:rPr>
          <w:b/>
          <w:szCs w:val="24"/>
        </w:rPr>
      </w:pPr>
      <w:r w:rsidRPr="00F813D5">
        <w:rPr>
          <w:b/>
          <w:szCs w:val="24"/>
        </w:rPr>
        <w:t xml:space="preserve">b) Odbor </w:t>
      </w:r>
      <w:r w:rsidR="00243A71" w:rsidRPr="00F813D5">
        <w:rPr>
          <w:b/>
          <w:szCs w:val="24"/>
        </w:rPr>
        <w:t xml:space="preserve">příjmů z pohledávek a </w:t>
      </w:r>
      <w:r w:rsidRPr="00F813D5">
        <w:rPr>
          <w:b/>
          <w:szCs w:val="24"/>
        </w:rPr>
        <w:t>prodeje MMP na základě smluv, u nichž byl realizátorem, zajistil výnos do</w:t>
      </w:r>
      <w:r w:rsidRPr="00F813D5">
        <w:t> </w:t>
      </w:r>
      <w:r w:rsidRPr="00F813D5">
        <w:rPr>
          <w:b/>
          <w:szCs w:val="24"/>
        </w:rPr>
        <w:t xml:space="preserve">rozpočtu města v celkové výši </w:t>
      </w:r>
      <w:r w:rsidR="00C77AAF">
        <w:rPr>
          <w:b/>
          <w:szCs w:val="24"/>
        </w:rPr>
        <w:t>927,3</w:t>
      </w:r>
      <w:r w:rsidR="00D639C4">
        <w:rPr>
          <w:b/>
          <w:szCs w:val="24"/>
        </w:rPr>
        <w:t> </w:t>
      </w:r>
      <w:r w:rsidRPr="00F813D5">
        <w:rPr>
          <w:b/>
          <w:szCs w:val="24"/>
        </w:rPr>
        <w:t>mil Kč, a to na základě:</w:t>
      </w:r>
    </w:p>
    <w:p w:rsidR="00CB6E98" w:rsidRPr="003B7C7F" w:rsidRDefault="00CB6E98" w:rsidP="00CD597C">
      <w:pPr>
        <w:pStyle w:val="text"/>
        <w:tabs>
          <w:tab w:val="right" w:pos="5387"/>
        </w:tabs>
        <w:spacing w:before="80"/>
        <w:ind w:left="142"/>
        <w:jc w:val="both"/>
        <w:rPr>
          <w:szCs w:val="24"/>
        </w:rPr>
      </w:pPr>
      <w:r w:rsidRPr="00F813D5">
        <w:rPr>
          <w:szCs w:val="24"/>
        </w:rPr>
        <w:t xml:space="preserve">a) prodeje bytů - </w:t>
      </w:r>
      <w:r w:rsidRPr="00F813D5">
        <w:rPr>
          <w:szCs w:val="24"/>
        </w:rPr>
        <w:tab/>
      </w:r>
      <w:r w:rsidR="00C77AAF">
        <w:rPr>
          <w:szCs w:val="24"/>
        </w:rPr>
        <w:t>18 885 298</w:t>
      </w:r>
      <w:r w:rsidR="00D639C4" w:rsidRPr="003B7C7F">
        <w:rPr>
          <w:szCs w:val="24"/>
        </w:rPr>
        <w:t> </w:t>
      </w:r>
      <w:r w:rsidR="00F813D5" w:rsidRPr="003B7C7F">
        <w:rPr>
          <w:szCs w:val="24"/>
        </w:rPr>
        <w:t>Kč</w:t>
      </w:r>
    </w:p>
    <w:p w:rsidR="00CB6E98" w:rsidRPr="00F66894" w:rsidRDefault="00CB6E98" w:rsidP="00CB6E98">
      <w:pPr>
        <w:pStyle w:val="text"/>
        <w:tabs>
          <w:tab w:val="left" w:pos="-1701"/>
          <w:tab w:val="right" w:pos="5387"/>
        </w:tabs>
        <w:spacing w:before="0"/>
        <w:ind w:left="567" w:hanging="141"/>
        <w:jc w:val="both"/>
        <w:rPr>
          <w:szCs w:val="24"/>
        </w:rPr>
      </w:pPr>
      <w:r w:rsidRPr="00F66894">
        <w:rPr>
          <w:szCs w:val="24"/>
        </w:rPr>
        <w:t xml:space="preserve">částka zahrnuje prodeje bytových jednotek formou městské soutěže (uživatelům, volných bytových jednotek) a </w:t>
      </w:r>
      <w:r w:rsidRPr="00F66894">
        <w:rPr>
          <w:szCs w:val="24"/>
        </w:rPr>
        <w:tab/>
        <w:t>prodeje bytových jednotek přímým prodejem nájemcům</w:t>
      </w:r>
    </w:p>
    <w:p w:rsidR="00CB6E98" w:rsidRPr="003B7C7F" w:rsidRDefault="00CB6E98" w:rsidP="00AF7E1D">
      <w:pPr>
        <w:pStyle w:val="text"/>
        <w:tabs>
          <w:tab w:val="right" w:pos="5387"/>
        </w:tabs>
        <w:spacing w:before="80"/>
        <w:ind w:left="142"/>
        <w:jc w:val="both"/>
        <w:rPr>
          <w:szCs w:val="24"/>
        </w:rPr>
      </w:pPr>
      <w:r w:rsidRPr="00F66894">
        <w:rPr>
          <w:szCs w:val="24"/>
        </w:rPr>
        <w:t>b) prodeje nebytových jednotek:</w:t>
      </w:r>
      <w:r w:rsidRPr="00F66894">
        <w:rPr>
          <w:szCs w:val="24"/>
        </w:rPr>
        <w:tab/>
      </w:r>
      <w:r w:rsidR="00C77AAF">
        <w:rPr>
          <w:szCs w:val="24"/>
        </w:rPr>
        <w:t>3 548 827</w:t>
      </w:r>
      <w:r w:rsidR="00D639C4" w:rsidRPr="003B7C7F">
        <w:rPr>
          <w:szCs w:val="24"/>
        </w:rPr>
        <w:t> </w:t>
      </w:r>
      <w:r w:rsidR="00F813D5" w:rsidRPr="003B7C7F">
        <w:rPr>
          <w:szCs w:val="24"/>
        </w:rPr>
        <w:t>Kč</w:t>
      </w:r>
    </w:p>
    <w:p w:rsidR="00CB6E98" w:rsidRPr="00F66894" w:rsidRDefault="00CB6E98" w:rsidP="00CB6E98">
      <w:pPr>
        <w:pStyle w:val="text"/>
        <w:tabs>
          <w:tab w:val="left" w:pos="-1701"/>
          <w:tab w:val="right" w:pos="5387"/>
        </w:tabs>
        <w:spacing w:before="0"/>
        <w:ind w:left="567" w:hanging="141"/>
        <w:jc w:val="both"/>
        <w:rPr>
          <w:szCs w:val="24"/>
        </w:rPr>
      </w:pPr>
      <w:r w:rsidRPr="00F66894">
        <w:rPr>
          <w:szCs w:val="24"/>
        </w:rPr>
        <w:t xml:space="preserve">částka zahrnuje prodeje </w:t>
      </w:r>
      <w:r w:rsidR="00B75A3B" w:rsidRPr="00F66894">
        <w:rPr>
          <w:szCs w:val="24"/>
        </w:rPr>
        <w:t>ne</w:t>
      </w:r>
      <w:r w:rsidRPr="00F66894">
        <w:rPr>
          <w:szCs w:val="24"/>
        </w:rPr>
        <w:t xml:space="preserve">bytových jednotek formou městské soutěže (nájemcům, volných nebytových jednotek) a </w:t>
      </w:r>
      <w:r w:rsidRPr="00F66894">
        <w:rPr>
          <w:szCs w:val="24"/>
        </w:rPr>
        <w:tab/>
        <w:t>prodeje nebytových jednotek přímým prodejem nájemcům</w:t>
      </w:r>
    </w:p>
    <w:p w:rsidR="00CB6E98" w:rsidRPr="003B7C7F" w:rsidRDefault="00CB6E98" w:rsidP="00AF7E1D">
      <w:pPr>
        <w:pStyle w:val="text"/>
        <w:tabs>
          <w:tab w:val="right" w:pos="5387"/>
          <w:tab w:val="left" w:pos="5812"/>
        </w:tabs>
        <w:spacing w:before="80"/>
        <w:ind w:left="142"/>
        <w:jc w:val="both"/>
        <w:rPr>
          <w:szCs w:val="24"/>
        </w:rPr>
      </w:pPr>
      <w:r w:rsidRPr="00F66894">
        <w:rPr>
          <w:szCs w:val="24"/>
        </w:rPr>
        <w:t>c) prodeje domů:</w:t>
      </w:r>
      <w:r w:rsidRPr="00F66894">
        <w:rPr>
          <w:szCs w:val="24"/>
        </w:rPr>
        <w:tab/>
      </w:r>
      <w:r w:rsidR="00C77AAF">
        <w:rPr>
          <w:szCs w:val="24"/>
        </w:rPr>
        <w:t>96 101 241</w:t>
      </w:r>
      <w:r w:rsidR="00D639C4" w:rsidRPr="003B7C7F">
        <w:rPr>
          <w:szCs w:val="24"/>
        </w:rPr>
        <w:t> </w:t>
      </w:r>
      <w:r w:rsidR="00F813D5" w:rsidRPr="003B7C7F">
        <w:rPr>
          <w:szCs w:val="24"/>
        </w:rPr>
        <w:t>Kč</w:t>
      </w:r>
    </w:p>
    <w:p w:rsidR="00CB6E98" w:rsidRDefault="00CB6E98" w:rsidP="00AF7E1D">
      <w:pPr>
        <w:pStyle w:val="text"/>
        <w:tabs>
          <w:tab w:val="right" w:pos="5387"/>
          <w:tab w:val="left" w:pos="5812"/>
        </w:tabs>
        <w:spacing w:before="80"/>
        <w:ind w:left="142"/>
        <w:jc w:val="both"/>
        <w:rPr>
          <w:szCs w:val="24"/>
        </w:rPr>
      </w:pPr>
      <w:r w:rsidRPr="00F66894">
        <w:rPr>
          <w:szCs w:val="24"/>
        </w:rPr>
        <w:t>d) prodej</w:t>
      </w:r>
      <w:r w:rsidR="005572D7">
        <w:rPr>
          <w:szCs w:val="24"/>
        </w:rPr>
        <w:t>e</w:t>
      </w:r>
      <w:r w:rsidRPr="00F66894">
        <w:rPr>
          <w:szCs w:val="24"/>
        </w:rPr>
        <w:t xml:space="preserve"> pozemků:</w:t>
      </w:r>
      <w:r w:rsidRPr="00F66894">
        <w:rPr>
          <w:szCs w:val="24"/>
        </w:rPr>
        <w:tab/>
      </w:r>
      <w:r w:rsidR="00C77AAF">
        <w:rPr>
          <w:szCs w:val="24"/>
        </w:rPr>
        <w:t>93 527 961</w:t>
      </w:r>
      <w:r w:rsidR="00D639C4" w:rsidRPr="003B7C7F">
        <w:rPr>
          <w:szCs w:val="24"/>
        </w:rPr>
        <w:t> </w:t>
      </w:r>
      <w:r w:rsidR="00F813D5" w:rsidRPr="003B7C7F">
        <w:rPr>
          <w:szCs w:val="24"/>
        </w:rPr>
        <w:t>Kč</w:t>
      </w:r>
    </w:p>
    <w:p w:rsidR="00C77AAF" w:rsidRPr="003B7C7F" w:rsidRDefault="00C77AAF" w:rsidP="00AF7E1D">
      <w:pPr>
        <w:pStyle w:val="text"/>
        <w:tabs>
          <w:tab w:val="right" w:pos="5387"/>
          <w:tab w:val="left" w:pos="5812"/>
        </w:tabs>
        <w:spacing w:before="80"/>
        <w:ind w:left="142"/>
        <w:jc w:val="both"/>
        <w:rPr>
          <w:szCs w:val="24"/>
        </w:rPr>
      </w:pPr>
      <w:r>
        <w:rPr>
          <w:szCs w:val="24"/>
        </w:rPr>
        <w:t>e) vodohospodářská infrastruktura</w:t>
      </w:r>
      <w:r>
        <w:rPr>
          <w:szCs w:val="24"/>
        </w:rPr>
        <w:tab/>
        <w:t>715 306 712 Kč</w:t>
      </w:r>
    </w:p>
    <w:p w:rsidR="00CB6E98" w:rsidRPr="00AA59D4" w:rsidRDefault="00CB6E98" w:rsidP="00CB6E98">
      <w:pPr>
        <w:pStyle w:val="text"/>
        <w:tabs>
          <w:tab w:val="right" w:pos="5387"/>
        </w:tabs>
        <w:spacing w:before="0"/>
        <w:jc w:val="both"/>
        <w:rPr>
          <w:sz w:val="16"/>
          <w:szCs w:val="16"/>
          <w:highlight w:val="yellow"/>
        </w:rPr>
      </w:pPr>
    </w:p>
    <w:p w:rsidR="002B3886" w:rsidRDefault="002B3886" w:rsidP="00AF7E1D">
      <w:pPr>
        <w:pStyle w:val="text"/>
        <w:tabs>
          <w:tab w:val="left" w:pos="4648"/>
          <w:tab w:val="right" w:pos="5387"/>
        </w:tabs>
        <w:spacing w:before="120"/>
        <w:ind w:left="142"/>
        <w:jc w:val="both"/>
        <w:rPr>
          <w:szCs w:val="24"/>
        </w:rPr>
      </w:pPr>
      <w:r w:rsidRPr="00C60236">
        <w:rPr>
          <w:szCs w:val="24"/>
        </w:rPr>
        <w:t xml:space="preserve">V souvislosti s přípravou majetkových převodů vynaložil </w:t>
      </w:r>
      <w:r w:rsidR="00341E07" w:rsidRPr="00C60236">
        <w:rPr>
          <w:szCs w:val="24"/>
        </w:rPr>
        <w:t xml:space="preserve">PROP </w:t>
      </w:r>
      <w:r w:rsidRPr="00C60236">
        <w:rPr>
          <w:szCs w:val="24"/>
        </w:rPr>
        <w:t xml:space="preserve">MMP </w:t>
      </w:r>
      <w:r w:rsidR="001970ED">
        <w:rPr>
          <w:szCs w:val="24"/>
        </w:rPr>
        <w:t xml:space="preserve">náklady </w:t>
      </w:r>
      <w:proofErr w:type="gramStart"/>
      <w:r w:rsidR="001970ED">
        <w:rPr>
          <w:szCs w:val="24"/>
        </w:rPr>
        <w:t>na</w:t>
      </w:r>
      <w:proofErr w:type="gramEnd"/>
      <w:r w:rsidR="001970ED">
        <w:rPr>
          <w:szCs w:val="24"/>
        </w:rPr>
        <w:t>:</w:t>
      </w:r>
    </w:p>
    <w:p w:rsidR="00DB5C52" w:rsidRPr="00144C8F" w:rsidRDefault="00DB5C52" w:rsidP="00D35BE3">
      <w:pPr>
        <w:pStyle w:val="text"/>
        <w:tabs>
          <w:tab w:val="right" w:pos="5935"/>
        </w:tabs>
        <w:spacing w:before="80"/>
        <w:ind w:left="142"/>
        <w:rPr>
          <w:szCs w:val="24"/>
        </w:rPr>
      </w:pPr>
      <w:r w:rsidRPr="00C21CB3">
        <w:rPr>
          <w:szCs w:val="24"/>
        </w:rPr>
        <w:t>a) znalecké posudky -</w:t>
      </w:r>
      <w:r w:rsidRPr="00C21CB3">
        <w:rPr>
          <w:szCs w:val="24"/>
        </w:rPr>
        <w:tab/>
      </w:r>
      <w:r w:rsidR="00144C8F">
        <w:rPr>
          <w:szCs w:val="24"/>
        </w:rPr>
        <w:t>481</w:t>
      </w:r>
      <w:r w:rsidRPr="00144C8F">
        <w:rPr>
          <w:szCs w:val="24"/>
        </w:rPr>
        <w:t> </w:t>
      </w:r>
      <w:r w:rsidR="00D35BE3" w:rsidRPr="00144C8F">
        <w:rPr>
          <w:szCs w:val="24"/>
        </w:rPr>
        <w:t>1</w:t>
      </w:r>
      <w:r w:rsidR="00144C8F">
        <w:rPr>
          <w:szCs w:val="24"/>
        </w:rPr>
        <w:t>35</w:t>
      </w:r>
      <w:r w:rsidRPr="00144C8F">
        <w:rPr>
          <w:szCs w:val="24"/>
        </w:rPr>
        <w:t> Kč</w:t>
      </w:r>
    </w:p>
    <w:p w:rsidR="00DB5C52" w:rsidRPr="00144C8F" w:rsidRDefault="00DB5C52" w:rsidP="00D35BE3">
      <w:pPr>
        <w:pStyle w:val="text"/>
        <w:tabs>
          <w:tab w:val="right" w:pos="5935"/>
        </w:tabs>
        <w:spacing w:before="80"/>
        <w:ind w:left="142"/>
        <w:rPr>
          <w:szCs w:val="24"/>
        </w:rPr>
      </w:pPr>
      <w:r w:rsidRPr="00144C8F">
        <w:rPr>
          <w:szCs w:val="24"/>
        </w:rPr>
        <w:t>b) inzerce -</w:t>
      </w:r>
      <w:r w:rsidRPr="00144C8F">
        <w:rPr>
          <w:szCs w:val="24"/>
        </w:rPr>
        <w:tab/>
      </w:r>
      <w:r w:rsidR="00144C8F">
        <w:rPr>
          <w:szCs w:val="24"/>
        </w:rPr>
        <w:t>227</w:t>
      </w:r>
      <w:r w:rsidRPr="00144C8F">
        <w:rPr>
          <w:szCs w:val="24"/>
        </w:rPr>
        <w:t> </w:t>
      </w:r>
      <w:r w:rsidR="00144C8F">
        <w:rPr>
          <w:szCs w:val="24"/>
        </w:rPr>
        <w:t>733</w:t>
      </w:r>
      <w:r w:rsidRPr="00144C8F">
        <w:rPr>
          <w:szCs w:val="24"/>
        </w:rPr>
        <w:t> Kč</w:t>
      </w:r>
    </w:p>
    <w:p w:rsidR="00DB5C52" w:rsidRPr="00144C8F" w:rsidRDefault="00DB5C52" w:rsidP="00D35BE3">
      <w:pPr>
        <w:pStyle w:val="text"/>
        <w:tabs>
          <w:tab w:val="right" w:pos="5935"/>
        </w:tabs>
        <w:spacing w:before="80"/>
        <w:ind w:left="142"/>
        <w:rPr>
          <w:szCs w:val="24"/>
        </w:rPr>
      </w:pPr>
      <w:r w:rsidRPr="00144C8F">
        <w:rPr>
          <w:szCs w:val="24"/>
        </w:rPr>
        <w:t>c) soudní poplatky -</w:t>
      </w:r>
      <w:r w:rsidRPr="00144C8F">
        <w:rPr>
          <w:szCs w:val="24"/>
        </w:rPr>
        <w:tab/>
      </w:r>
      <w:r w:rsidR="00D35BE3" w:rsidRPr="00144C8F">
        <w:rPr>
          <w:szCs w:val="24"/>
        </w:rPr>
        <w:t>1</w:t>
      </w:r>
      <w:r w:rsidR="00144C8F">
        <w:rPr>
          <w:szCs w:val="24"/>
        </w:rPr>
        <w:t>45</w:t>
      </w:r>
      <w:r w:rsidRPr="00144C8F">
        <w:rPr>
          <w:szCs w:val="24"/>
        </w:rPr>
        <w:t> </w:t>
      </w:r>
      <w:r w:rsidR="00144C8F">
        <w:rPr>
          <w:szCs w:val="24"/>
        </w:rPr>
        <w:t>369</w:t>
      </w:r>
      <w:r w:rsidRPr="00144C8F">
        <w:rPr>
          <w:szCs w:val="24"/>
        </w:rPr>
        <w:t> Kč</w:t>
      </w:r>
    </w:p>
    <w:p w:rsidR="00D35BE3" w:rsidRDefault="00D35BE3" w:rsidP="00D35BE3">
      <w:pPr>
        <w:pStyle w:val="text"/>
        <w:tabs>
          <w:tab w:val="right" w:pos="5935"/>
        </w:tabs>
        <w:spacing w:before="80"/>
        <w:ind w:left="142"/>
        <w:rPr>
          <w:szCs w:val="24"/>
        </w:rPr>
      </w:pPr>
      <w:r w:rsidRPr="00144C8F">
        <w:rPr>
          <w:szCs w:val="24"/>
        </w:rPr>
        <w:t xml:space="preserve">d) právní služby – služby soud. </w:t>
      </w:r>
      <w:proofErr w:type="gramStart"/>
      <w:r w:rsidRPr="00144C8F">
        <w:rPr>
          <w:szCs w:val="24"/>
        </w:rPr>
        <w:t>exekutora</w:t>
      </w:r>
      <w:proofErr w:type="gramEnd"/>
      <w:r w:rsidRPr="00144C8F">
        <w:rPr>
          <w:szCs w:val="24"/>
        </w:rPr>
        <w:t xml:space="preserve"> -</w:t>
      </w:r>
      <w:r w:rsidRPr="00144C8F">
        <w:rPr>
          <w:szCs w:val="24"/>
        </w:rPr>
        <w:tab/>
      </w:r>
      <w:r w:rsidR="00144C8F">
        <w:rPr>
          <w:szCs w:val="24"/>
        </w:rPr>
        <w:t>7 235</w:t>
      </w:r>
      <w:r w:rsidRPr="00144C8F">
        <w:rPr>
          <w:szCs w:val="24"/>
        </w:rPr>
        <w:t> Kč</w:t>
      </w:r>
    </w:p>
    <w:p w:rsidR="00DB5C52" w:rsidRDefault="00DB5C52" w:rsidP="00AF7E1D">
      <w:pPr>
        <w:pStyle w:val="text"/>
        <w:tabs>
          <w:tab w:val="left" w:pos="4648"/>
          <w:tab w:val="right" w:pos="5387"/>
        </w:tabs>
        <w:spacing w:before="120"/>
        <w:ind w:left="142"/>
        <w:jc w:val="both"/>
        <w:rPr>
          <w:szCs w:val="24"/>
        </w:rPr>
      </w:pPr>
    </w:p>
    <w:p w:rsidR="002B3886" w:rsidRPr="00C60236" w:rsidRDefault="002B3886" w:rsidP="003F7F0B">
      <w:pPr>
        <w:pStyle w:val="text"/>
        <w:tabs>
          <w:tab w:val="right" w:pos="5387"/>
        </w:tabs>
        <w:spacing w:before="120"/>
        <w:ind w:left="142"/>
        <w:jc w:val="both"/>
        <w:rPr>
          <w:szCs w:val="24"/>
        </w:rPr>
      </w:pPr>
      <w:r w:rsidRPr="00C60236">
        <w:rPr>
          <w:szCs w:val="24"/>
        </w:rPr>
        <w:t xml:space="preserve">V rámci činnosti </w:t>
      </w:r>
      <w:r w:rsidR="00482308" w:rsidRPr="00C60236">
        <w:rPr>
          <w:szCs w:val="24"/>
        </w:rPr>
        <w:t>EVID</w:t>
      </w:r>
      <w:r w:rsidRPr="00C60236">
        <w:rPr>
          <w:szCs w:val="24"/>
        </w:rPr>
        <w:t xml:space="preserve"> MMP bylo dále uzavřeno </w:t>
      </w:r>
      <w:r w:rsidR="00C77AAF">
        <w:rPr>
          <w:szCs w:val="24"/>
        </w:rPr>
        <w:t>23</w:t>
      </w:r>
      <w:r w:rsidR="00D639C4" w:rsidRPr="00C60236">
        <w:rPr>
          <w:szCs w:val="24"/>
        </w:rPr>
        <w:t xml:space="preserve"> </w:t>
      </w:r>
      <w:r w:rsidRPr="00C60236">
        <w:rPr>
          <w:szCs w:val="24"/>
        </w:rPr>
        <w:t xml:space="preserve">smluv, jejichž předmětem byl movitý majetek, z toho </w:t>
      </w:r>
      <w:r w:rsidR="00C77AAF">
        <w:rPr>
          <w:szCs w:val="24"/>
        </w:rPr>
        <w:t>14</w:t>
      </w:r>
      <w:r w:rsidR="00D639C4" w:rsidRPr="00C60236">
        <w:rPr>
          <w:szCs w:val="24"/>
        </w:rPr>
        <w:t xml:space="preserve"> </w:t>
      </w:r>
      <w:r w:rsidRPr="00C60236">
        <w:rPr>
          <w:szCs w:val="24"/>
        </w:rPr>
        <w:t xml:space="preserve">darovacích a </w:t>
      </w:r>
      <w:r w:rsidR="001F078F">
        <w:rPr>
          <w:szCs w:val="24"/>
        </w:rPr>
        <w:t>9</w:t>
      </w:r>
      <w:r w:rsidRPr="00C60236">
        <w:rPr>
          <w:szCs w:val="24"/>
        </w:rPr>
        <w:t xml:space="preserve"> smluv o prodeji.</w:t>
      </w:r>
    </w:p>
    <w:p w:rsidR="00CE77F4" w:rsidRPr="003F7F0B" w:rsidRDefault="003F7F0B" w:rsidP="003F7F0B">
      <w:pPr>
        <w:pStyle w:val="text"/>
        <w:tabs>
          <w:tab w:val="right" w:pos="5387"/>
        </w:tabs>
        <w:spacing w:before="120"/>
        <w:ind w:left="142"/>
        <w:jc w:val="both"/>
        <w:rPr>
          <w:szCs w:val="24"/>
        </w:rPr>
      </w:pPr>
      <w:r w:rsidRPr="003F7F0B">
        <w:rPr>
          <w:szCs w:val="24"/>
        </w:rPr>
        <w:t xml:space="preserve">V roce </w:t>
      </w:r>
      <w:r w:rsidR="00D639C4" w:rsidRPr="003F7F0B">
        <w:rPr>
          <w:szCs w:val="24"/>
        </w:rPr>
        <w:t>201</w:t>
      </w:r>
      <w:r w:rsidR="00C816EB">
        <w:rPr>
          <w:szCs w:val="24"/>
        </w:rPr>
        <w:t>6</w:t>
      </w:r>
      <w:r w:rsidR="00D639C4" w:rsidRPr="003F7F0B">
        <w:rPr>
          <w:szCs w:val="24"/>
        </w:rPr>
        <w:t xml:space="preserve"> </w:t>
      </w:r>
      <w:r w:rsidRPr="003F7F0B">
        <w:rPr>
          <w:szCs w:val="24"/>
        </w:rPr>
        <w:t>bylo v</w:t>
      </w:r>
      <w:r w:rsidR="00B1319F">
        <w:rPr>
          <w:szCs w:val="24"/>
        </w:rPr>
        <w:t> </w:t>
      </w:r>
      <w:r w:rsidR="001F078F">
        <w:rPr>
          <w:szCs w:val="24"/>
        </w:rPr>
        <w:t>8</w:t>
      </w:r>
      <w:r w:rsidR="00B1319F">
        <w:rPr>
          <w:szCs w:val="24"/>
        </w:rPr>
        <w:t xml:space="preserve"> </w:t>
      </w:r>
      <w:r w:rsidRPr="003F7F0B">
        <w:rPr>
          <w:szCs w:val="24"/>
        </w:rPr>
        <w:t>případech uznáno vydržení vlastnického práva k pozemkům dosud vedených na</w:t>
      </w:r>
      <w:r w:rsidR="00764351">
        <w:rPr>
          <w:szCs w:val="24"/>
        </w:rPr>
        <w:t> </w:t>
      </w:r>
      <w:r w:rsidRPr="003F7F0B">
        <w:rPr>
          <w:szCs w:val="24"/>
        </w:rPr>
        <w:t>listu vlastnictví města Plzně.</w:t>
      </w:r>
    </w:p>
    <w:p w:rsidR="002B3886" w:rsidRPr="00965A58" w:rsidRDefault="002B3886" w:rsidP="002B3886">
      <w:pPr>
        <w:pStyle w:val="text"/>
        <w:tabs>
          <w:tab w:val="right" w:pos="5387"/>
        </w:tabs>
        <w:spacing w:before="120"/>
        <w:ind w:left="142"/>
        <w:jc w:val="both"/>
        <w:rPr>
          <w:szCs w:val="24"/>
        </w:rPr>
      </w:pPr>
      <w:r w:rsidRPr="00EC496E">
        <w:rPr>
          <w:szCs w:val="24"/>
        </w:rPr>
        <w:t xml:space="preserve">V roce </w:t>
      </w:r>
      <w:r w:rsidR="00D639C4" w:rsidRPr="00EC496E">
        <w:rPr>
          <w:szCs w:val="24"/>
        </w:rPr>
        <w:t>201</w:t>
      </w:r>
      <w:r w:rsidR="00C816EB">
        <w:rPr>
          <w:szCs w:val="24"/>
        </w:rPr>
        <w:t>6</w:t>
      </w:r>
      <w:r w:rsidR="00D639C4" w:rsidRPr="00EC496E">
        <w:rPr>
          <w:szCs w:val="24"/>
        </w:rPr>
        <w:t xml:space="preserve"> </w:t>
      </w:r>
      <w:r w:rsidRPr="00EC496E">
        <w:rPr>
          <w:szCs w:val="24"/>
        </w:rPr>
        <w:t xml:space="preserve">bylo uzavřeno </w:t>
      </w:r>
      <w:r w:rsidR="00482308" w:rsidRPr="00EC496E">
        <w:rPr>
          <w:szCs w:val="24"/>
        </w:rPr>
        <w:t>EVID</w:t>
      </w:r>
      <w:r w:rsidRPr="00EC496E">
        <w:rPr>
          <w:szCs w:val="24"/>
        </w:rPr>
        <w:t xml:space="preserve"> MMP </w:t>
      </w:r>
      <w:r w:rsidR="004D224A">
        <w:rPr>
          <w:szCs w:val="24"/>
        </w:rPr>
        <w:t>4</w:t>
      </w:r>
      <w:r w:rsidR="00EC6148">
        <w:rPr>
          <w:szCs w:val="24"/>
        </w:rPr>
        <w:t>1</w:t>
      </w:r>
      <w:r w:rsidR="006E73C5" w:rsidRPr="00EC496E">
        <w:rPr>
          <w:szCs w:val="24"/>
        </w:rPr>
        <w:t xml:space="preserve"> </w:t>
      </w:r>
      <w:r w:rsidRPr="00EC496E">
        <w:rPr>
          <w:szCs w:val="24"/>
        </w:rPr>
        <w:t>smluv o výpůjčce</w:t>
      </w:r>
      <w:r w:rsidR="0043710C" w:rsidRPr="00EC496E">
        <w:rPr>
          <w:szCs w:val="24"/>
        </w:rPr>
        <w:t>,</w:t>
      </w:r>
      <w:r w:rsidRPr="00EC496E">
        <w:rPr>
          <w:szCs w:val="24"/>
        </w:rPr>
        <w:t xml:space="preserve"> jejichž předmětem byl nemovitý majetek</w:t>
      </w:r>
      <w:r w:rsidR="00764351" w:rsidRPr="00EC496E">
        <w:rPr>
          <w:szCs w:val="24"/>
        </w:rPr>
        <w:t xml:space="preserve"> (největší zastoupení má realizace schválených smluvních vztahů na pozemky pod sušáky)</w:t>
      </w:r>
      <w:r w:rsidR="0043710C" w:rsidRPr="00EC496E">
        <w:rPr>
          <w:szCs w:val="24"/>
        </w:rPr>
        <w:t>,</w:t>
      </w:r>
      <w:r w:rsidR="00B50954" w:rsidRPr="00EC496E">
        <w:rPr>
          <w:szCs w:val="24"/>
        </w:rPr>
        <w:t xml:space="preserve"> a</w:t>
      </w:r>
      <w:r w:rsidR="0043710C" w:rsidRPr="00EC496E">
        <w:rPr>
          <w:szCs w:val="24"/>
        </w:rPr>
        <w:t> </w:t>
      </w:r>
      <w:r w:rsidR="004D224A">
        <w:rPr>
          <w:szCs w:val="24"/>
        </w:rPr>
        <w:t>4</w:t>
      </w:r>
      <w:r w:rsidR="004B599C">
        <w:rPr>
          <w:szCs w:val="24"/>
        </w:rPr>
        <w:t>2</w:t>
      </w:r>
      <w:r w:rsidR="00E826A8" w:rsidRPr="00EC496E">
        <w:rPr>
          <w:szCs w:val="24"/>
        </w:rPr>
        <w:t xml:space="preserve"> </w:t>
      </w:r>
      <w:r w:rsidR="00B50954" w:rsidRPr="00EC496E">
        <w:rPr>
          <w:szCs w:val="24"/>
        </w:rPr>
        <w:t>dodatků ke stávajícím smlouvám</w:t>
      </w:r>
      <w:r w:rsidR="00C60236" w:rsidRPr="00EC496E">
        <w:rPr>
          <w:szCs w:val="24"/>
        </w:rPr>
        <w:t xml:space="preserve"> a </w:t>
      </w:r>
      <w:r w:rsidR="00EC6148">
        <w:rPr>
          <w:szCs w:val="24"/>
        </w:rPr>
        <w:t>1 výpůjčka</w:t>
      </w:r>
      <w:r w:rsidR="0043710C" w:rsidRPr="00EC496E">
        <w:rPr>
          <w:szCs w:val="24"/>
        </w:rPr>
        <w:t>,</w:t>
      </w:r>
      <w:r w:rsidR="00C60236" w:rsidRPr="00EC496E">
        <w:rPr>
          <w:szCs w:val="24"/>
        </w:rPr>
        <w:t xml:space="preserve"> jejichž předmětem byl movitý majetek.</w:t>
      </w:r>
    </w:p>
    <w:p w:rsidR="00E94879" w:rsidRDefault="00E94879" w:rsidP="00E94879">
      <w:pPr>
        <w:pBdr>
          <w:bottom w:val="single" w:sz="4" w:space="1" w:color="auto"/>
        </w:pBdr>
        <w:tabs>
          <w:tab w:val="left" w:pos="-1843"/>
        </w:tabs>
        <w:spacing w:before="360"/>
        <w:jc w:val="both"/>
        <w:rPr>
          <w:sz w:val="24"/>
          <w:szCs w:val="24"/>
        </w:rPr>
      </w:pPr>
    </w:p>
    <w:p w:rsidR="00E94879" w:rsidRPr="00542393" w:rsidRDefault="00E94879" w:rsidP="00E94879">
      <w:pPr>
        <w:pStyle w:val="Paragrafneslovan"/>
      </w:pPr>
      <w:r w:rsidRPr="00542393">
        <w:t>Zprávu předkládá:</w:t>
      </w:r>
      <w:r>
        <w:tab/>
      </w:r>
      <w:r w:rsidRPr="00542393">
        <w:t>H. Matoušová, členka RMP</w:t>
      </w:r>
    </w:p>
    <w:p w:rsidR="00E94879" w:rsidRDefault="00E94879" w:rsidP="00E94879">
      <w:pPr>
        <w:pStyle w:val="Paragrafneslovan"/>
      </w:pPr>
      <w:r w:rsidRPr="00542393">
        <w:t>Zprávu</w:t>
      </w:r>
      <w:r>
        <w:t xml:space="preserve"> zpracovala dne:</w:t>
      </w:r>
      <w:r>
        <w:tab/>
        <w:t>2. 3. 2017</w:t>
      </w:r>
      <w:r w:rsidRPr="00542393">
        <w:tab/>
      </w:r>
      <w:r w:rsidRPr="00965A58">
        <w:t>Mgr. Hana Radová</w:t>
      </w:r>
      <w:r>
        <w:t>, MBA</w:t>
      </w:r>
    </w:p>
    <w:p w:rsidR="00E94879" w:rsidRPr="00542393" w:rsidRDefault="00E94879" w:rsidP="00E94879">
      <w:pPr>
        <w:pStyle w:val="Paragrafneslovan"/>
      </w:pPr>
      <w:r>
        <w:tab/>
      </w:r>
      <w:r>
        <w:tab/>
      </w:r>
      <w:r w:rsidRPr="00965A58">
        <w:t>Ladislav Raška</w:t>
      </w:r>
      <w:r>
        <w:t>, EVID</w:t>
      </w:r>
    </w:p>
    <w:p w:rsidR="00E94879" w:rsidRPr="00542393" w:rsidRDefault="00E94879" w:rsidP="00E94879">
      <w:pPr>
        <w:pStyle w:val="Paragrafneslovan"/>
      </w:pPr>
      <w:r w:rsidRPr="00542393">
        <w:t>Schůze ZM</w:t>
      </w:r>
      <w:r>
        <w:t>P se zúčastní:</w:t>
      </w:r>
      <w:r>
        <w:tab/>
        <w:t>Mgr. H. Radová, MBA, VO</w:t>
      </w:r>
      <w:r w:rsidRPr="00542393">
        <w:t xml:space="preserve"> EVID</w:t>
      </w:r>
      <w:r>
        <w:t xml:space="preserve"> MMP</w:t>
      </w:r>
    </w:p>
    <w:p w:rsidR="00E94879" w:rsidRDefault="00E94879" w:rsidP="00E94879">
      <w:pPr>
        <w:pStyle w:val="Paragrafneslovan"/>
      </w:pPr>
      <w:r w:rsidRPr="00542393">
        <w:t xml:space="preserve">Obsah zprávy projednán s: </w:t>
      </w:r>
      <w:r w:rsidRPr="00542393">
        <w:tab/>
      </w:r>
      <w:r>
        <w:t>Ing. H. Kuglerovou, MBA, ŘEÚ</w:t>
      </w:r>
      <w:r>
        <w:tab/>
        <w:t xml:space="preserve">souhlasí             </w:t>
      </w:r>
      <w:bookmarkStart w:id="3" w:name="_GoBack"/>
      <w:bookmarkEnd w:id="3"/>
    </w:p>
    <w:p w:rsidR="00E94879" w:rsidRPr="00542393" w:rsidRDefault="00E94879" w:rsidP="00E94879">
      <w:pPr>
        <w:pStyle w:val="Paragrafneslovan"/>
      </w:pPr>
      <w:r w:rsidRPr="00542393">
        <w:t xml:space="preserve">Zveřejněno na úřední desce: </w:t>
      </w:r>
      <w:r w:rsidRPr="00542393">
        <w:tab/>
        <w:t xml:space="preserve">  nepodléhá zveřejnění</w:t>
      </w:r>
    </w:p>
    <w:p w:rsidR="00E94879" w:rsidRPr="00965A58" w:rsidRDefault="00E94879" w:rsidP="00E94879">
      <w:pPr>
        <w:tabs>
          <w:tab w:val="left" w:pos="-1843"/>
        </w:tabs>
        <w:spacing w:before="360"/>
        <w:jc w:val="both"/>
        <w:rPr>
          <w:sz w:val="24"/>
          <w:szCs w:val="24"/>
        </w:rPr>
      </w:pPr>
    </w:p>
    <w:sectPr w:rsidR="00E94879" w:rsidRPr="00965A58" w:rsidSect="00934862">
      <w:footerReference w:type="even" r:id="rId16"/>
      <w:footerReference w:type="default" r:id="rId17"/>
      <w:pgSz w:w="11907" w:h="16840" w:code="9"/>
      <w:pgMar w:top="851" w:right="850" w:bottom="1276" w:left="709" w:header="567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E6" w:rsidRDefault="007405E6">
      <w:r>
        <w:separator/>
      </w:r>
    </w:p>
  </w:endnote>
  <w:endnote w:type="continuationSeparator" w:id="0">
    <w:p w:rsidR="007405E6" w:rsidRDefault="0074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69" w:rsidRDefault="00B44969">
    <w:pPr>
      <w:pStyle w:val="Zpat"/>
      <w:framePr w:wrap="around" w:vAnchor="text" w:hAnchor="margin" w:xAlign="center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>
      <w:rPr>
        <w:rStyle w:val="slostrnky"/>
        <w:rFonts w:ascii="Arial" w:hAnsi="Arial"/>
        <w:noProof/>
      </w:rPr>
      <w:t>9</w:t>
    </w:r>
    <w:r>
      <w:rPr>
        <w:rStyle w:val="slostrnky"/>
        <w:rFonts w:ascii="Arial" w:hAnsi="Arial"/>
      </w:rPr>
      <w:fldChar w:fldCharType="end"/>
    </w:r>
  </w:p>
  <w:p w:rsidR="00B44969" w:rsidRDefault="00B44969">
    <w:pPr>
      <w:pStyle w:val="Zpat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69" w:rsidRDefault="00B44969">
    <w:pPr>
      <w:pStyle w:val="Zpat"/>
      <w:framePr w:wrap="around" w:vAnchor="text" w:hAnchor="margin" w:xAlign="center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492FA5">
      <w:rPr>
        <w:rStyle w:val="slostrnky"/>
        <w:rFonts w:ascii="Arial" w:hAnsi="Arial"/>
        <w:noProof/>
      </w:rPr>
      <w:t>9</w:t>
    </w:r>
    <w:r>
      <w:rPr>
        <w:rStyle w:val="slostrnky"/>
        <w:rFonts w:ascii="Arial" w:hAnsi="Arial"/>
      </w:rPr>
      <w:fldChar w:fldCharType="end"/>
    </w:r>
  </w:p>
  <w:p w:rsidR="00B44969" w:rsidRDefault="00B44969">
    <w:pPr>
      <w:pStyle w:val="Zpa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E6" w:rsidRDefault="007405E6">
      <w:r>
        <w:separator/>
      </w:r>
    </w:p>
  </w:footnote>
  <w:footnote w:type="continuationSeparator" w:id="0">
    <w:p w:rsidR="007405E6" w:rsidRDefault="0074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CB"/>
    <w:multiLevelType w:val="hybridMultilevel"/>
    <w:tmpl w:val="5680E4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A1859"/>
    <w:multiLevelType w:val="multilevel"/>
    <w:tmpl w:val="6152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C2764"/>
    <w:multiLevelType w:val="multilevel"/>
    <w:tmpl w:val="B02AD08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">
    <w:nsid w:val="1729367E"/>
    <w:multiLevelType w:val="hybridMultilevel"/>
    <w:tmpl w:val="C18EE6D2"/>
    <w:lvl w:ilvl="0" w:tplc="99467E28">
      <w:start w:val="1"/>
      <w:numFmt w:val="bullet"/>
      <w:lvlText w:val="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E3394A"/>
    <w:multiLevelType w:val="hybridMultilevel"/>
    <w:tmpl w:val="23A28A68"/>
    <w:lvl w:ilvl="0" w:tplc="2CCE251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42981"/>
    <w:multiLevelType w:val="hybridMultilevel"/>
    <w:tmpl w:val="61520D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86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D11FA"/>
    <w:multiLevelType w:val="hybridMultilevel"/>
    <w:tmpl w:val="B02AD086"/>
    <w:lvl w:ilvl="0" w:tplc="0405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7">
    <w:nsid w:val="3861148D"/>
    <w:multiLevelType w:val="hybridMultilevel"/>
    <w:tmpl w:val="FD9E27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3764E"/>
    <w:multiLevelType w:val="hybridMultilevel"/>
    <w:tmpl w:val="9CF4AF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A6E01"/>
    <w:multiLevelType w:val="hybridMultilevel"/>
    <w:tmpl w:val="C18EE6D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FCA2BF1"/>
    <w:multiLevelType w:val="singleLevel"/>
    <w:tmpl w:val="C5FCF5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52279F"/>
    <w:multiLevelType w:val="hybridMultilevel"/>
    <w:tmpl w:val="5650C2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4E4A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048EA"/>
    <w:multiLevelType w:val="hybridMultilevel"/>
    <w:tmpl w:val="9CF4AFD8"/>
    <w:lvl w:ilvl="0" w:tplc="9A68012E">
      <w:start w:val="1"/>
      <w:numFmt w:val="bullet"/>
      <w:lvlText w:val="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B6095"/>
    <w:multiLevelType w:val="hybridMultilevel"/>
    <w:tmpl w:val="FCB2EED0"/>
    <w:lvl w:ilvl="0" w:tplc="0405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CEA2B4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>
    <w:nsid w:val="775539DA"/>
    <w:multiLevelType w:val="hybridMultilevel"/>
    <w:tmpl w:val="43FC67D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7E5160"/>
    <w:multiLevelType w:val="hybridMultilevel"/>
    <w:tmpl w:val="38EE85EC"/>
    <w:lvl w:ilvl="0" w:tplc="9A68012E">
      <w:start w:val="1"/>
      <w:numFmt w:val="bullet"/>
      <w:lvlText w:val="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2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14"/>
  </w:num>
  <w:num w:numId="12">
    <w:abstractNumId w:val="6"/>
  </w:num>
  <w:num w:numId="13">
    <w:abstractNumId w:val="2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5B"/>
    <w:rsid w:val="000110D5"/>
    <w:rsid w:val="00011D40"/>
    <w:rsid w:val="00012583"/>
    <w:rsid w:val="000147D0"/>
    <w:rsid w:val="000148E0"/>
    <w:rsid w:val="00015D3C"/>
    <w:rsid w:val="00015F14"/>
    <w:rsid w:val="000226A4"/>
    <w:rsid w:val="00025474"/>
    <w:rsid w:val="00031DA9"/>
    <w:rsid w:val="00041439"/>
    <w:rsid w:val="00041C81"/>
    <w:rsid w:val="00043CC1"/>
    <w:rsid w:val="000453F3"/>
    <w:rsid w:val="000455F6"/>
    <w:rsid w:val="00046D01"/>
    <w:rsid w:val="0005708B"/>
    <w:rsid w:val="00064CF6"/>
    <w:rsid w:val="000735A9"/>
    <w:rsid w:val="00076202"/>
    <w:rsid w:val="000856FE"/>
    <w:rsid w:val="00095CB0"/>
    <w:rsid w:val="00096CC3"/>
    <w:rsid w:val="000A6B11"/>
    <w:rsid w:val="000B3CBD"/>
    <w:rsid w:val="000B4037"/>
    <w:rsid w:val="000C28A3"/>
    <w:rsid w:val="000C3A6B"/>
    <w:rsid w:val="000C7795"/>
    <w:rsid w:val="000D3DB8"/>
    <w:rsid w:val="000E67EF"/>
    <w:rsid w:val="000F04B8"/>
    <w:rsid w:val="000F1F1E"/>
    <w:rsid w:val="000F2E96"/>
    <w:rsid w:val="000F4035"/>
    <w:rsid w:val="001003E0"/>
    <w:rsid w:val="00100A1C"/>
    <w:rsid w:val="00105653"/>
    <w:rsid w:val="00117B3A"/>
    <w:rsid w:val="00127368"/>
    <w:rsid w:val="00144C8F"/>
    <w:rsid w:val="00154B9B"/>
    <w:rsid w:val="00157DA7"/>
    <w:rsid w:val="001701FE"/>
    <w:rsid w:val="001713E2"/>
    <w:rsid w:val="00174C91"/>
    <w:rsid w:val="0017618B"/>
    <w:rsid w:val="00177B82"/>
    <w:rsid w:val="00182F84"/>
    <w:rsid w:val="00184F3D"/>
    <w:rsid w:val="001857CC"/>
    <w:rsid w:val="001970ED"/>
    <w:rsid w:val="001A3152"/>
    <w:rsid w:val="001A5C2A"/>
    <w:rsid w:val="001B2170"/>
    <w:rsid w:val="001B4C2F"/>
    <w:rsid w:val="001B7E48"/>
    <w:rsid w:val="001C2517"/>
    <w:rsid w:val="001C45AC"/>
    <w:rsid w:val="001D0CA2"/>
    <w:rsid w:val="001D5905"/>
    <w:rsid w:val="001D6C36"/>
    <w:rsid w:val="001D7616"/>
    <w:rsid w:val="001E0301"/>
    <w:rsid w:val="001E49E5"/>
    <w:rsid w:val="001E5CEF"/>
    <w:rsid w:val="001F078F"/>
    <w:rsid w:val="001F2463"/>
    <w:rsid w:val="001F4A83"/>
    <w:rsid w:val="001F541A"/>
    <w:rsid w:val="001F6832"/>
    <w:rsid w:val="00205580"/>
    <w:rsid w:val="00214AD6"/>
    <w:rsid w:val="00220609"/>
    <w:rsid w:val="0023008A"/>
    <w:rsid w:val="00233C8E"/>
    <w:rsid w:val="00234005"/>
    <w:rsid w:val="00235745"/>
    <w:rsid w:val="0023582F"/>
    <w:rsid w:val="00236E45"/>
    <w:rsid w:val="002405D2"/>
    <w:rsid w:val="002410F4"/>
    <w:rsid w:val="00243A71"/>
    <w:rsid w:val="00266019"/>
    <w:rsid w:val="00271EF9"/>
    <w:rsid w:val="002758A4"/>
    <w:rsid w:val="0027681F"/>
    <w:rsid w:val="00280542"/>
    <w:rsid w:val="00282ED8"/>
    <w:rsid w:val="002849ED"/>
    <w:rsid w:val="00285E3F"/>
    <w:rsid w:val="00287DA6"/>
    <w:rsid w:val="00295F2A"/>
    <w:rsid w:val="002A2A3A"/>
    <w:rsid w:val="002B0EB7"/>
    <w:rsid w:val="002B3797"/>
    <w:rsid w:val="002B3886"/>
    <w:rsid w:val="002B434C"/>
    <w:rsid w:val="002C2D01"/>
    <w:rsid w:val="002C4A73"/>
    <w:rsid w:val="002C50FD"/>
    <w:rsid w:val="002D5DC8"/>
    <w:rsid w:val="002E15BB"/>
    <w:rsid w:val="002E1A4C"/>
    <w:rsid w:val="002E457F"/>
    <w:rsid w:val="002E504D"/>
    <w:rsid w:val="002E70C7"/>
    <w:rsid w:val="002F0C68"/>
    <w:rsid w:val="002F3C9C"/>
    <w:rsid w:val="003017DC"/>
    <w:rsid w:val="0031511F"/>
    <w:rsid w:val="00315258"/>
    <w:rsid w:val="00321543"/>
    <w:rsid w:val="00323B08"/>
    <w:rsid w:val="00324605"/>
    <w:rsid w:val="00324CAC"/>
    <w:rsid w:val="00331627"/>
    <w:rsid w:val="003318E9"/>
    <w:rsid w:val="00333797"/>
    <w:rsid w:val="0033514E"/>
    <w:rsid w:val="003352C2"/>
    <w:rsid w:val="00341E07"/>
    <w:rsid w:val="00357598"/>
    <w:rsid w:val="003724F6"/>
    <w:rsid w:val="00373F68"/>
    <w:rsid w:val="003760CE"/>
    <w:rsid w:val="00387061"/>
    <w:rsid w:val="003905A7"/>
    <w:rsid w:val="00392009"/>
    <w:rsid w:val="00395DFF"/>
    <w:rsid w:val="0039681E"/>
    <w:rsid w:val="003A52A7"/>
    <w:rsid w:val="003B6213"/>
    <w:rsid w:val="003B6479"/>
    <w:rsid w:val="003B7C7F"/>
    <w:rsid w:val="003E1348"/>
    <w:rsid w:val="003E4778"/>
    <w:rsid w:val="003F7F0B"/>
    <w:rsid w:val="004032AE"/>
    <w:rsid w:val="004052B3"/>
    <w:rsid w:val="00410AF0"/>
    <w:rsid w:val="0041595B"/>
    <w:rsid w:val="00427E18"/>
    <w:rsid w:val="004326D1"/>
    <w:rsid w:val="00432803"/>
    <w:rsid w:val="0043710C"/>
    <w:rsid w:val="004373D2"/>
    <w:rsid w:val="00440A99"/>
    <w:rsid w:val="00441501"/>
    <w:rsid w:val="00444677"/>
    <w:rsid w:val="00445272"/>
    <w:rsid w:val="00446BA9"/>
    <w:rsid w:val="00451F99"/>
    <w:rsid w:val="00454D2A"/>
    <w:rsid w:val="00455ECC"/>
    <w:rsid w:val="00462EF4"/>
    <w:rsid w:val="004702C2"/>
    <w:rsid w:val="00472A9A"/>
    <w:rsid w:val="00473B6F"/>
    <w:rsid w:val="00476E09"/>
    <w:rsid w:val="00481FE4"/>
    <w:rsid w:val="00482308"/>
    <w:rsid w:val="00483113"/>
    <w:rsid w:val="00484FCE"/>
    <w:rsid w:val="00492E24"/>
    <w:rsid w:val="00492FA5"/>
    <w:rsid w:val="0049358F"/>
    <w:rsid w:val="00494013"/>
    <w:rsid w:val="004947F9"/>
    <w:rsid w:val="0049502C"/>
    <w:rsid w:val="004A123D"/>
    <w:rsid w:val="004A54EB"/>
    <w:rsid w:val="004A6A03"/>
    <w:rsid w:val="004B0BEC"/>
    <w:rsid w:val="004B2CFE"/>
    <w:rsid w:val="004B4450"/>
    <w:rsid w:val="004B599C"/>
    <w:rsid w:val="004B5E57"/>
    <w:rsid w:val="004C0C1D"/>
    <w:rsid w:val="004C1E83"/>
    <w:rsid w:val="004C2CDB"/>
    <w:rsid w:val="004C670C"/>
    <w:rsid w:val="004D1A89"/>
    <w:rsid w:val="004D224A"/>
    <w:rsid w:val="004D2911"/>
    <w:rsid w:val="004F15E9"/>
    <w:rsid w:val="004F484D"/>
    <w:rsid w:val="004F4BB5"/>
    <w:rsid w:val="00510C60"/>
    <w:rsid w:val="00515E0B"/>
    <w:rsid w:val="005176D9"/>
    <w:rsid w:val="005243B2"/>
    <w:rsid w:val="005250EC"/>
    <w:rsid w:val="0052614E"/>
    <w:rsid w:val="00534EA7"/>
    <w:rsid w:val="0054664A"/>
    <w:rsid w:val="005500E2"/>
    <w:rsid w:val="005572D7"/>
    <w:rsid w:val="00563A63"/>
    <w:rsid w:val="0056417B"/>
    <w:rsid w:val="00576089"/>
    <w:rsid w:val="005832FE"/>
    <w:rsid w:val="00597E2F"/>
    <w:rsid w:val="005A12D8"/>
    <w:rsid w:val="005A44CD"/>
    <w:rsid w:val="005B0716"/>
    <w:rsid w:val="005B0973"/>
    <w:rsid w:val="005B133F"/>
    <w:rsid w:val="005B3A9D"/>
    <w:rsid w:val="005C0889"/>
    <w:rsid w:val="005C610D"/>
    <w:rsid w:val="005C790A"/>
    <w:rsid w:val="005E69B3"/>
    <w:rsid w:val="005F3A63"/>
    <w:rsid w:val="005F7F97"/>
    <w:rsid w:val="00601A40"/>
    <w:rsid w:val="00610846"/>
    <w:rsid w:val="00626715"/>
    <w:rsid w:val="00627A3F"/>
    <w:rsid w:val="00632211"/>
    <w:rsid w:val="00636138"/>
    <w:rsid w:val="006373E2"/>
    <w:rsid w:val="00644EB5"/>
    <w:rsid w:val="00645BC2"/>
    <w:rsid w:val="006473D0"/>
    <w:rsid w:val="00647AE6"/>
    <w:rsid w:val="00652F06"/>
    <w:rsid w:val="00661556"/>
    <w:rsid w:val="00663D4A"/>
    <w:rsid w:val="006648B3"/>
    <w:rsid w:val="00667FBB"/>
    <w:rsid w:val="0067731C"/>
    <w:rsid w:val="006820F0"/>
    <w:rsid w:val="00686E49"/>
    <w:rsid w:val="00694EC6"/>
    <w:rsid w:val="00695CE0"/>
    <w:rsid w:val="00696045"/>
    <w:rsid w:val="006B1A34"/>
    <w:rsid w:val="006B4DE7"/>
    <w:rsid w:val="006B5CF9"/>
    <w:rsid w:val="006C36BC"/>
    <w:rsid w:val="006D1795"/>
    <w:rsid w:val="006D2443"/>
    <w:rsid w:val="006D2C50"/>
    <w:rsid w:val="006D402E"/>
    <w:rsid w:val="006D4E27"/>
    <w:rsid w:val="006D62EF"/>
    <w:rsid w:val="006E1599"/>
    <w:rsid w:val="006E73C5"/>
    <w:rsid w:val="006F4752"/>
    <w:rsid w:val="00703461"/>
    <w:rsid w:val="00704161"/>
    <w:rsid w:val="00705BCA"/>
    <w:rsid w:val="007120C0"/>
    <w:rsid w:val="00716BFC"/>
    <w:rsid w:val="007301AA"/>
    <w:rsid w:val="007405E6"/>
    <w:rsid w:val="0074475B"/>
    <w:rsid w:val="00750278"/>
    <w:rsid w:val="00751A64"/>
    <w:rsid w:val="00754543"/>
    <w:rsid w:val="00762F28"/>
    <w:rsid w:val="00764351"/>
    <w:rsid w:val="007664AA"/>
    <w:rsid w:val="00772E6B"/>
    <w:rsid w:val="00777CAD"/>
    <w:rsid w:val="007834BD"/>
    <w:rsid w:val="00783CF4"/>
    <w:rsid w:val="0078669E"/>
    <w:rsid w:val="007904E3"/>
    <w:rsid w:val="00794334"/>
    <w:rsid w:val="007A4F50"/>
    <w:rsid w:val="007B0711"/>
    <w:rsid w:val="007B431E"/>
    <w:rsid w:val="007C200E"/>
    <w:rsid w:val="007C39AA"/>
    <w:rsid w:val="007C6585"/>
    <w:rsid w:val="007D2758"/>
    <w:rsid w:val="007D3E2C"/>
    <w:rsid w:val="007D79EE"/>
    <w:rsid w:val="007E1B49"/>
    <w:rsid w:val="007F5071"/>
    <w:rsid w:val="007F50B9"/>
    <w:rsid w:val="007F684B"/>
    <w:rsid w:val="007F6DF0"/>
    <w:rsid w:val="008049C7"/>
    <w:rsid w:val="00813447"/>
    <w:rsid w:val="008145C8"/>
    <w:rsid w:val="00815F5D"/>
    <w:rsid w:val="008213E9"/>
    <w:rsid w:val="0082609A"/>
    <w:rsid w:val="00836FBC"/>
    <w:rsid w:val="00837A8E"/>
    <w:rsid w:val="0084290D"/>
    <w:rsid w:val="008457E9"/>
    <w:rsid w:val="008578C0"/>
    <w:rsid w:val="008646ED"/>
    <w:rsid w:val="00867BE9"/>
    <w:rsid w:val="00873698"/>
    <w:rsid w:val="008739C8"/>
    <w:rsid w:val="00875F83"/>
    <w:rsid w:val="008804FD"/>
    <w:rsid w:val="008829A1"/>
    <w:rsid w:val="00887018"/>
    <w:rsid w:val="008901B4"/>
    <w:rsid w:val="008A183F"/>
    <w:rsid w:val="008A7DF6"/>
    <w:rsid w:val="008B0300"/>
    <w:rsid w:val="008B5925"/>
    <w:rsid w:val="008C3B10"/>
    <w:rsid w:val="008C421D"/>
    <w:rsid w:val="008C48FD"/>
    <w:rsid w:val="008C518A"/>
    <w:rsid w:val="008C5575"/>
    <w:rsid w:val="008D73DF"/>
    <w:rsid w:val="008E11F7"/>
    <w:rsid w:val="008E612D"/>
    <w:rsid w:val="008F0300"/>
    <w:rsid w:val="00901D71"/>
    <w:rsid w:val="009071C6"/>
    <w:rsid w:val="00915E2B"/>
    <w:rsid w:val="00917EF6"/>
    <w:rsid w:val="00920855"/>
    <w:rsid w:val="0092398D"/>
    <w:rsid w:val="00932264"/>
    <w:rsid w:val="009338B8"/>
    <w:rsid w:val="00934862"/>
    <w:rsid w:val="0093746C"/>
    <w:rsid w:val="00937687"/>
    <w:rsid w:val="009422D6"/>
    <w:rsid w:val="009430F0"/>
    <w:rsid w:val="00947C01"/>
    <w:rsid w:val="00953C13"/>
    <w:rsid w:val="00956027"/>
    <w:rsid w:val="0096101A"/>
    <w:rsid w:val="00965A58"/>
    <w:rsid w:val="009709CD"/>
    <w:rsid w:val="0097183C"/>
    <w:rsid w:val="00974D46"/>
    <w:rsid w:val="00974DE4"/>
    <w:rsid w:val="0097647E"/>
    <w:rsid w:val="00977F02"/>
    <w:rsid w:val="00984678"/>
    <w:rsid w:val="00990DD7"/>
    <w:rsid w:val="0099250F"/>
    <w:rsid w:val="00994905"/>
    <w:rsid w:val="009A3CC9"/>
    <w:rsid w:val="009A543E"/>
    <w:rsid w:val="009B11ED"/>
    <w:rsid w:val="009C2B2D"/>
    <w:rsid w:val="009D0E84"/>
    <w:rsid w:val="009D63C2"/>
    <w:rsid w:val="009D6C38"/>
    <w:rsid w:val="009E09DE"/>
    <w:rsid w:val="009E63D4"/>
    <w:rsid w:val="009E76DD"/>
    <w:rsid w:val="009F1822"/>
    <w:rsid w:val="009F3740"/>
    <w:rsid w:val="009F5861"/>
    <w:rsid w:val="009F6618"/>
    <w:rsid w:val="00A0307E"/>
    <w:rsid w:val="00A03EB1"/>
    <w:rsid w:val="00A04128"/>
    <w:rsid w:val="00A130D6"/>
    <w:rsid w:val="00A164A5"/>
    <w:rsid w:val="00A25D97"/>
    <w:rsid w:val="00A31C42"/>
    <w:rsid w:val="00A32665"/>
    <w:rsid w:val="00A3409B"/>
    <w:rsid w:val="00A3570F"/>
    <w:rsid w:val="00A43BDD"/>
    <w:rsid w:val="00A53966"/>
    <w:rsid w:val="00A5421E"/>
    <w:rsid w:val="00A555CD"/>
    <w:rsid w:val="00A65812"/>
    <w:rsid w:val="00A666C7"/>
    <w:rsid w:val="00A7018B"/>
    <w:rsid w:val="00A7040C"/>
    <w:rsid w:val="00A72518"/>
    <w:rsid w:val="00A728AC"/>
    <w:rsid w:val="00A85BC8"/>
    <w:rsid w:val="00A9352A"/>
    <w:rsid w:val="00A95140"/>
    <w:rsid w:val="00A96382"/>
    <w:rsid w:val="00A968B9"/>
    <w:rsid w:val="00AA3082"/>
    <w:rsid w:val="00AA3B38"/>
    <w:rsid w:val="00AA59D4"/>
    <w:rsid w:val="00AA653B"/>
    <w:rsid w:val="00AB2459"/>
    <w:rsid w:val="00AC0E0E"/>
    <w:rsid w:val="00AC3C7A"/>
    <w:rsid w:val="00AC4524"/>
    <w:rsid w:val="00AC68E6"/>
    <w:rsid w:val="00AC7348"/>
    <w:rsid w:val="00AD0971"/>
    <w:rsid w:val="00AD1C0B"/>
    <w:rsid w:val="00AD2052"/>
    <w:rsid w:val="00AD5E10"/>
    <w:rsid w:val="00AD7C04"/>
    <w:rsid w:val="00AE2BA0"/>
    <w:rsid w:val="00AE3409"/>
    <w:rsid w:val="00AE47D1"/>
    <w:rsid w:val="00AE56B2"/>
    <w:rsid w:val="00AE74BE"/>
    <w:rsid w:val="00AE7668"/>
    <w:rsid w:val="00AF016F"/>
    <w:rsid w:val="00AF5906"/>
    <w:rsid w:val="00AF6908"/>
    <w:rsid w:val="00AF7E1D"/>
    <w:rsid w:val="00B02694"/>
    <w:rsid w:val="00B12023"/>
    <w:rsid w:val="00B1319F"/>
    <w:rsid w:val="00B13AA1"/>
    <w:rsid w:val="00B17EFC"/>
    <w:rsid w:val="00B33726"/>
    <w:rsid w:val="00B33BA4"/>
    <w:rsid w:val="00B414DE"/>
    <w:rsid w:val="00B43C8A"/>
    <w:rsid w:val="00B44969"/>
    <w:rsid w:val="00B50954"/>
    <w:rsid w:val="00B514C5"/>
    <w:rsid w:val="00B5161B"/>
    <w:rsid w:val="00B51A4D"/>
    <w:rsid w:val="00B577F4"/>
    <w:rsid w:val="00B6079D"/>
    <w:rsid w:val="00B63453"/>
    <w:rsid w:val="00B65520"/>
    <w:rsid w:val="00B721A0"/>
    <w:rsid w:val="00B75A3B"/>
    <w:rsid w:val="00B8389F"/>
    <w:rsid w:val="00B97DEB"/>
    <w:rsid w:val="00BA02EB"/>
    <w:rsid w:val="00BB2D8E"/>
    <w:rsid w:val="00BB4A25"/>
    <w:rsid w:val="00BC1AE5"/>
    <w:rsid w:val="00BC6254"/>
    <w:rsid w:val="00BC79CD"/>
    <w:rsid w:val="00BD0A44"/>
    <w:rsid w:val="00BD265B"/>
    <w:rsid w:val="00BD3402"/>
    <w:rsid w:val="00BD432C"/>
    <w:rsid w:val="00BE1FE7"/>
    <w:rsid w:val="00BE6C75"/>
    <w:rsid w:val="00BE7416"/>
    <w:rsid w:val="00BF398F"/>
    <w:rsid w:val="00C21CB3"/>
    <w:rsid w:val="00C2527E"/>
    <w:rsid w:val="00C30699"/>
    <w:rsid w:val="00C32DD3"/>
    <w:rsid w:val="00C35853"/>
    <w:rsid w:val="00C35F47"/>
    <w:rsid w:val="00C442FC"/>
    <w:rsid w:val="00C47F2D"/>
    <w:rsid w:val="00C516D1"/>
    <w:rsid w:val="00C51B1C"/>
    <w:rsid w:val="00C527B8"/>
    <w:rsid w:val="00C54810"/>
    <w:rsid w:val="00C60236"/>
    <w:rsid w:val="00C6278F"/>
    <w:rsid w:val="00C67625"/>
    <w:rsid w:val="00C77802"/>
    <w:rsid w:val="00C77AAF"/>
    <w:rsid w:val="00C77EC9"/>
    <w:rsid w:val="00C816EB"/>
    <w:rsid w:val="00C81B8F"/>
    <w:rsid w:val="00C870FB"/>
    <w:rsid w:val="00C8756F"/>
    <w:rsid w:val="00C95000"/>
    <w:rsid w:val="00CA1DB6"/>
    <w:rsid w:val="00CA5371"/>
    <w:rsid w:val="00CA5732"/>
    <w:rsid w:val="00CB463B"/>
    <w:rsid w:val="00CB5EE3"/>
    <w:rsid w:val="00CB6E98"/>
    <w:rsid w:val="00CB7F3B"/>
    <w:rsid w:val="00CC13F8"/>
    <w:rsid w:val="00CC1A9A"/>
    <w:rsid w:val="00CC1F6F"/>
    <w:rsid w:val="00CC62A1"/>
    <w:rsid w:val="00CD596D"/>
    <w:rsid w:val="00CD597C"/>
    <w:rsid w:val="00CD7FD5"/>
    <w:rsid w:val="00CE77F4"/>
    <w:rsid w:val="00D00694"/>
    <w:rsid w:val="00D030B8"/>
    <w:rsid w:val="00D150FE"/>
    <w:rsid w:val="00D16DC8"/>
    <w:rsid w:val="00D21DBF"/>
    <w:rsid w:val="00D31638"/>
    <w:rsid w:val="00D32C72"/>
    <w:rsid w:val="00D352F1"/>
    <w:rsid w:val="00D35BE3"/>
    <w:rsid w:val="00D37B3C"/>
    <w:rsid w:val="00D43C9B"/>
    <w:rsid w:val="00D4491C"/>
    <w:rsid w:val="00D457F6"/>
    <w:rsid w:val="00D527BC"/>
    <w:rsid w:val="00D56AD6"/>
    <w:rsid w:val="00D62E14"/>
    <w:rsid w:val="00D639C4"/>
    <w:rsid w:val="00D6734E"/>
    <w:rsid w:val="00D73FAE"/>
    <w:rsid w:val="00D81C39"/>
    <w:rsid w:val="00D84281"/>
    <w:rsid w:val="00D8708D"/>
    <w:rsid w:val="00D87CBE"/>
    <w:rsid w:val="00D90329"/>
    <w:rsid w:val="00D91A3D"/>
    <w:rsid w:val="00D9457D"/>
    <w:rsid w:val="00D9461B"/>
    <w:rsid w:val="00DA1CF1"/>
    <w:rsid w:val="00DA330D"/>
    <w:rsid w:val="00DA7698"/>
    <w:rsid w:val="00DB3441"/>
    <w:rsid w:val="00DB3983"/>
    <w:rsid w:val="00DB58FA"/>
    <w:rsid w:val="00DB5C52"/>
    <w:rsid w:val="00DB7A1B"/>
    <w:rsid w:val="00DC7E42"/>
    <w:rsid w:val="00DD2DED"/>
    <w:rsid w:val="00DE3D3D"/>
    <w:rsid w:val="00DE441C"/>
    <w:rsid w:val="00DE5214"/>
    <w:rsid w:val="00DE66D5"/>
    <w:rsid w:val="00DF07F6"/>
    <w:rsid w:val="00DF3202"/>
    <w:rsid w:val="00E01E0A"/>
    <w:rsid w:val="00E07C9A"/>
    <w:rsid w:val="00E118B4"/>
    <w:rsid w:val="00E14BF6"/>
    <w:rsid w:val="00E156C0"/>
    <w:rsid w:val="00E226FF"/>
    <w:rsid w:val="00E24748"/>
    <w:rsid w:val="00E27DF4"/>
    <w:rsid w:val="00E3050E"/>
    <w:rsid w:val="00E32EF7"/>
    <w:rsid w:val="00E353FA"/>
    <w:rsid w:val="00E365AB"/>
    <w:rsid w:val="00E36BBF"/>
    <w:rsid w:val="00E37BDC"/>
    <w:rsid w:val="00E40C2B"/>
    <w:rsid w:val="00E44E76"/>
    <w:rsid w:val="00E459FE"/>
    <w:rsid w:val="00E4692B"/>
    <w:rsid w:val="00E473B3"/>
    <w:rsid w:val="00E51FFC"/>
    <w:rsid w:val="00E52932"/>
    <w:rsid w:val="00E65683"/>
    <w:rsid w:val="00E66040"/>
    <w:rsid w:val="00E66CFC"/>
    <w:rsid w:val="00E77078"/>
    <w:rsid w:val="00E826A8"/>
    <w:rsid w:val="00E828B4"/>
    <w:rsid w:val="00E84CF9"/>
    <w:rsid w:val="00E9360C"/>
    <w:rsid w:val="00E94879"/>
    <w:rsid w:val="00E958CB"/>
    <w:rsid w:val="00E96394"/>
    <w:rsid w:val="00EA3A80"/>
    <w:rsid w:val="00EA5D93"/>
    <w:rsid w:val="00EA66E9"/>
    <w:rsid w:val="00EB4D6B"/>
    <w:rsid w:val="00EB54CE"/>
    <w:rsid w:val="00EC06E6"/>
    <w:rsid w:val="00EC23BB"/>
    <w:rsid w:val="00EC4794"/>
    <w:rsid w:val="00EC496E"/>
    <w:rsid w:val="00EC6148"/>
    <w:rsid w:val="00EC64B2"/>
    <w:rsid w:val="00EC6DB7"/>
    <w:rsid w:val="00ED7ECD"/>
    <w:rsid w:val="00EE12AE"/>
    <w:rsid w:val="00EF07A9"/>
    <w:rsid w:val="00EF0FFB"/>
    <w:rsid w:val="00EF27AE"/>
    <w:rsid w:val="00EF4E09"/>
    <w:rsid w:val="00EF50EC"/>
    <w:rsid w:val="00F047FC"/>
    <w:rsid w:val="00F05699"/>
    <w:rsid w:val="00F059A4"/>
    <w:rsid w:val="00F06913"/>
    <w:rsid w:val="00F06C4D"/>
    <w:rsid w:val="00F07200"/>
    <w:rsid w:val="00F128DC"/>
    <w:rsid w:val="00F160B9"/>
    <w:rsid w:val="00F16493"/>
    <w:rsid w:val="00F309C4"/>
    <w:rsid w:val="00F468C1"/>
    <w:rsid w:val="00F66894"/>
    <w:rsid w:val="00F66D7A"/>
    <w:rsid w:val="00F67CBB"/>
    <w:rsid w:val="00F71A5E"/>
    <w:rsid w:val="00F767E1"/>
    <w:rsid w:val="00F81053"/>
    <w:rsid w:val="00F810F4"/>
    <w:rsid w:val="00F813D5"/>
    <w:rsid w:val="00F81691"/>
    <w:rsid w:val="00F82431"/>
    <w:rsid w:val="00F83C3A"/>
    <w:rsid w:val="00F85B90"/>
    <w:rsid w:val="00F93CB6"/>
    <w:rsid w:val="00F94EB2"/>
    <w:rsid w:val="00F9668B"/>
    <w:rsid w:val="00F97AF9"/>
    <w:rsid w:val="00FA291D"/>
    <w:rsid w:val="00FA7EBA"/>
    <w:rsid w:val="00FB1BA5"/>
    <w:rsid w:val="00FB4328"/>
    <w:rsid w:val="00FC1C8B"/>
    <w:rsid w:val="00FC30FE"/>
    <w:rsid w:val="00FC5C80"/>
    <w:rsid w:val="00FC7BBF"/>
    <w:rsid w:val="00FD2519"/>
    <w:rsid w:val="00FD7679"/>
    <w:rsid w:val="00FD7E7D"/>
    <w:rsid w:val="00FE3610"/>
    <w:rsid w:val="00FE4A67"/>
    <w:rsid w:val="00FF0BC8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-1843"/>
        <w:tab w:val="left" w:pos="7088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5103"/>
      </w:tabs>
      <w:ind w:left="1410" w:hanging="1410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pPr>
      <w:spacing w:before="240"/>
    </w:pPr>
    <w:rPr>
      <w:sz w:val="24"/>
    </w:rPr>
  </w:style>
  <w:style w:type="paragraph" w:customStyle="1" w:styleId="vod">
    <w:name w:val="Úvod"/>
    <w:basedOn w:val="Normln"/>
    <w:next w:val="vod2"/>
    <w:pPr>
      <w:spacing w:before="120" w:after="240"/>
      <w:jc w:val="center"/>
    </w:pPr>
    <w:rPr>
      <w:rFonts w:ascii="Arial" w:hAnsi="Arial"/>
      <w:b/>
      <w:sz w:val="28"/>
    </w:rPr>
  </w:style>
  <w:style w:type="paragraph" w:customStyle="1" w:styleId="vod2">
    <w:name w:val="úvod2"/>
    <w:basedOn w:val="Normln"/>
    <w:next w:val="Normln"/>
    <w:pPr>
      <w:tabs>
        <w:tab w:val="left" w:pos="4962"/>
      </w:tabs>
      <w:spacing w:after="240"/>
      <w:jc w:val="center"/>
    </w:pPr>
    <w:rPr>
      <w:rFonts w:ascii="Arial" w:hAnsi="Arial"/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firstLine="709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firstLine="709"/>
    </w:pPr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right" w:pos="6663"/>
        <w:tab w:val="right" w:pos="8222"/>
      </w:tabs>
      <w:spacing w:after="240"/>
      <w:ind w:left="1276" w:hanging="142"/>
    </w:pPr>
    <w:rPr>
      <w:sz w:val="24"/>
    </w:rPr>
  </w:style>
  <w:style w:type="paragraph" w:styleId="Titulek">
    <w:name w:val="caption"/>
    <w:basedOn w:val="Normln"/>
    <w:next w:val="Normln"/>
    <w:qFormat/>
    <w:pPr>
      <w:tabs>
        <w:tab w:val="left" w:pos="-1843"/>
        <w:tab w:val="left" w:pos="7088"/>
      </w:tabs>
      <w:jc w:val="center"/>
    </w:pPr>
    <w:rPr>
      <w:sz w:val="24"/>
      <w:u w:val="single"/>
    </w:rPr>
  </w:style>
  <w:style w:type="paragraph" w:customStyle="1" w:styleId="xl24">
    <w:name w:val="xl24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6">
    <w:name w:val="xl26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7">
    <w:name w:val="xl27"/>
    <w:basedOn w:val="Normln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0">
    <w:name w:val="xl30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1">
    <w:name w:val="xl31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3">
    <w:name w:val="xl33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4">
    <w:name w:val="xl34"/>
    <w:basedOn w:val="Normln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8">
    <w:name w:val="xl38"/>
    <w:basedOn w:val="Normln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Normln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0">
    <w:name w:val="xl40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1">
    <w:name w:val="xl41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5">
    <w:name w:val="xl45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6">
    <w:name w:val="xl46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8">
    <w:name w:val="xl48"/>
    <w:basedOn w:val="Normln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0">
    <w:name w:val="xl50"/>
    <w:basedOn w:val="Normln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table" w:styleId="Mkatabulky5">
    <w:name w:val="Table Grid 5"/>
    <w:basedOn w:val="Normlntabulka"/>
    <w:rsid w:val="00B97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BC625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C518A"/>
    <w:pPr>
      <w:shd w:val="clear" w:color="auto" w:fill="000080"/>
    </w:pPr>
    <w:rPr>
      <w:rFonts w:ascii="Tahoma" w:hAnsi="Tahoma" w:cs="Tahoma"/>
    </w:rPr>
  </w:style>
  <w:style w:type="table" w:styleId="Tabulkasprostorovmiefekty3">
    <w:name w:val="Table 3D effects 3"/>
    <w:basedOn w:val="Normlntabulka"/>
    <w:rsid w:val="001D6C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887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basedOn w:val="Standardnpsmoodstavce"/>
    <w:rsid w:val="00BD2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265B"/>
  </w:style>
  <w:style w:type="character" w:customStyle="1" w:styleId="TextkomenteChar">
    <w:name w:val="Text komentáře Char"/>
    <w:basedOn w:val="Standardnpsmoodstavce"/>
    <w:link w:val="Textkomente"/>
    <w:rsid w:val="00BD265B"/>
  </w:style>
  <w:style w:type="paragraph" w:styleId="Pedmtkomente">
    <w:name w:val="annotation subject"/>
    <w:basedOn w:val="Textkomente"/>
    <w:next w:val="Textkomente"/>
    <w:link w:val="PedmtkomenteChar"/>
    <w:rsid w:val="00BD2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D265B"/>
    <w:rPr>
      <w:b/>
      <w:bCs/>
    </w:rPr>
  </w:style>
  <w:style w:type="paragraph" w:customStyle="1" w:styleId="Paragrafneslovan">
    <w:name w:val="Paragraf nečíslovaný"/>
    <w:basedOn w:val="Normln"/>
    <w:autoRedefine/>
    <w:rsid w:val="00E94879"/>
    <w:pPr>
      <w:tabs>
        <w:tab w:val="left" w:pos="2977"/>
        <w:tab w:val="left" w:pos="6379"/>
      </w:tabs>
      <w:spacing w:before="240"/>
      <w:ind w:right="-35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-1843"/>
        <w:tab w:val="left" w:pos="7088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5103"/>
      </w:tabs>
      <w:ind w:left="1410" w:hanging="1410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pPr>
      <w:spacing w:before="240"/>
    </w:pPr>
    <w:rPr>
      <w:sz w:val="24"/>
    </w:rPr>
  </w:style>
  <w:style w:type="paragraph" w:customStyle="1" w:styleId="vod">
    <w:name w:val="Úvod"/>
    <w:basedOn w:val="Normln"/>
    <w:next w:val="vod2"/>
    <w:pPr>
      <w:spacing w:before="120" w:after="240"/>
      <w:jc w:val="center"/>
    </w:pPr>
    <w:rPr>
      <w:rFonts w:ascii="Arial" w:hAnsi="Arial"/>
      <w:b/>
      <w:sz w:val="28"/>
    </w:rPr>
  </w:style>
  <w:style w:type="paragraph" w:customStyle="1" w:styleId="vod2">
    <w:name w:val="úvod2"/>
    <w:basedOn w:val="Normln"/>
    <w:next w:val="Normln"/>
    <w:pPr>
      <w:tabs>
        <w:tab w:val="left" w:pos="4962"/>
      </w:tabs>
      <w:spacing w:after="240"/>
      <w:jc w:val="center"/>
    </w:pPr>
    <w:rPr>
      <w:rFonts w:ascii="Arial" w:hAnsi="Arial"/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firstLine="709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firstLine="709"/>
    </w:pPr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right" w:pos="6663"/>
        <w:tab w:val="right" w:pos="8222"/>
      </w:tabs>
      <w:spacing w:after="240"/>
      <w:ind w:left="1276" w:hanging="142"/>
    </w:pPr>
    <w:rPr>
      <w:sz w:val="24"/>
    </w:rPr>
  </w:style>
  <w:style w:type="paragraph" w:styleId="Titulek">
    <w:name w:val="caption"/>
    <w:basedOn w:val="Normln"/>
    <w:next w:val="Normln"/>
    <w:qFormat/>
    <w:pPr>
      <w:tabs>
        <w:tab w:val="left" w:pos="-1843"/>
        <w:tab w:val="left" w:pos="7088"/>
      </w:tabs>
      <w:jc w:val="center"/>
    </w:pPr>
    <w:rPr>
      <w:sz w:val="24"/>
      <w:u w:val="single"/>
    </w:rPr>
  </w:style>
  <w:style w:type="paragraph" w:customStyle="1" w:styleId="xl24">
    <w:name w:val="xl24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6">
    <w:name w:val="xl26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7">
    <w:name w:val="xl27"/>
    <w:basedOn w:val="Normln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0">
    <w:name w:val="xl30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1">
    <w:name w:val="xl31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3">
    <w:name w:val="xl33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4">
    <w:name w:val="xl34"/>
    <w:basedOn w:val="Normln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8">
    <w:name w:val="xl38"/>
    <w:basedOn w:val="Normln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Normln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0">
    <w:name w:val="xl40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1">
    <w:name w:val="xl41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5">
    <w:name w:val="xl45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6">
    <w:name w:val="xl46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8">
    <w:name w:val="xl48"/>
    <w:basedOn w:val="Normln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0">
    <w:name w:val="xl50"/>
    <w:basedOn w:val="Normln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table" w:styleId="Mkatabulky5">
    <w:name w:val="Table Grid 5"/>
    <w:basedOn w:val="Normlntabulka"/>
    <w:rsid w:val="00B97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BC625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C518A"/>
    <w:pPr>
      <w:shd w:val="clear" w:color="auto" w:fill="000080"/>
    </w:pPr>
    <w:rPr>
      <w:rFonts w:ascii="Tahoma" w:hAnsi="Tahoma" w:cs="Tahoma"/>
    </w:rPr>
  </w:style>
  <w:style w:type="table" w:styleId="Tabulkasprostorovmiefekty3">
    <w:name w:val="Table 3D effects 3"/>
    <w:basedOn w:val="Normlntabulka"/>
    <w:rsid w:val="001D6C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887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basedOn w:val="Standardnpsmoodstavce"/>
    <w:rsid w:val="00BD2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265B"/>
  </w:style>
  <w:style w:type="character" w:customStyle="1" w:styleId="TextkomenteChar">
    <w:name w:val="Text komentáře Char"/>
    <w:basedOn w:val="Standardnpsmoodstavce"/>
    <w:link w:val="Textkomente"/>
    <w:rsid w:val="00BD265B"/>
  </w:style>
  <w:style w:type="paragraph" w:styleId="Pedmtkomente">
    <w:name w:val="annotation subject"/>
    <w:basedOn w:val="Textkomente"/>
    <w:next w:val="Textkomente"/>
    <w:link w:val="PedmtkomenteChar"/>
    <w:rsid w:val="00BD2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D265B"/>
    <w:rPr>
      <w:b/>
      <w:bCs/>
    </w:rPr>
  </w:style>
  <w:style w:type="paragraph" w:customStyle="1" w:styleId="Paragrafneslovan">
    <w:name w:val="Paragraf nečíslovaný"/>
    <w:basedOn w:val="Normln"/>
    <w:autoRedefine/>
    <w:rsid w:val="00E94879"/>
    <w:pPr>
      <w:tabs>
        <w:tab w:val="left" w:pos="2977"/>
        <w:tab w:val="left" w:pos="6379"/>
      </w:tabs>
      <w:spacing w:before="240"/>
      <w:ind w:right="-35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1B18-F318-48D5-AE48-844F4EF4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1885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Informativní zpráva o stavu městského majetku</vt:lpstr>
    </vt:vector>
  </TitlesOfParts>
  <Company>MmP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Informativní zpráva o stavu městského majetku</dc:title>
  <dc:subject>Dle usnesení RMP č.318 z 30.6.1994</dc:subject>
  <dc:creator>Raška Ladislav</dc:creator>
  <cp:lastModifiedBy>Vanžurová Ivana</cp:lastModifiedBy>
  <cp:revision>4</cp:revision>
  <cp:lastPrinted>2017-02-20T06:27:00Z</cp:lastPrinted>
  <dcterms:created xsi:type="dcterms:W3CDTF">2017-02-28T06:02:00Z</dcterms:created>
  <dcterms:modified xsi:type="dcterms:W3CDTF">2017-03-06T06:40:00Z</dcterms:modified>
</cp:coreProperties>
</file>