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BB" w:rsidRDefault="00D415BB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D415BB" w:rsidRDefault="00D415BB">
      <w:pPr>
        <w:pStyle w:val="ostzahl"/>
      </w:pPr>
      <w:r>
        <w:t>Název problému a jeho charakteristika</w:t>
      </w:r>
    </w:p>
    <w:p w:rsidR="00F05AFF" w:rsidRDefault="00F05AFF" w:rsidP="00115BF5">
      <w:pPr>
        <w:pStyle w:val="ostzahl"/>
        <w:numPr>
          <w:ilvl w:val="0"/>
          <w:numId w:val="0"/>
        </w:numPr>
        <w:rPr>
          <w:b w:val="0"/>
          <w:spacing w:val="0"/>
        </w:rPr>
      </w:pPr>
      <w:r w:rsidRPr="00F05AFF">
        <w:rPr>
          <w:b w:val="0"/>
          <w:spacing w:val="0"/>
        </w:rPr>
        <w:t>Stanovení finančního vztahu rozpočtu města k rozpočtům městských obvodů pro sestavení rozpočtu města na rok 201</w:t>
      </w:r>
      <w:r w:rsidR="00835975">
        <w:rPr>
          <w:b w:val="0"/>
          <w:spacing w:val="0"/>
        </w:rPr>
        <w:t>8</w:t>
      </w:r>
      <w:r w:rsidRPr="00F05AFF">
        <w:rPr>
          <w:b w:val="0"/>
          <w:spacing w:val="0"/>
        </w:rPr>
        <w:t xml:space="preserve"> a </w:t>
      </w:r>
      <w:r w:rsidR="00835975">
        <w:rPr>
          <w:b w:val="0"/>
          <w:spacing w:val="0"/>
        </w:rPr>
        <w:t>střednědob</w:t>
      </w:r>
      <w:r w:rsidR="00F42772">
        <w:rPr>
          <w:b w:val="0"/>
          <w:spacing w:val="0"/>
        </w:rPr>
        <w:t>ého</w:t>
      </w:r>
      <w:r w:rsidR="00835975">
        <w:rPr>
          <w:b w:val="0"/>
          <w:spacing w:val="0"/>
        </w:rPr>
        <w:t xml:space="preserve"> výhled</w:t>
      </w:r>
      <w:r w:rsidR="00F42772">
        <w:rPr>
          <w:b w:val="0"/>
          <w:spacing w:val="0"/>
        </w:rPr>
        <w:t>u</w:t>
      </w:r>
      <w:r w:rsidR="00835975">
        <w:rPr>
          <w:b w:val="0"/>
          <w:spacing w:val="0"/>
        </w:rPr>
        <w:t xml:space="preserve"> rozpočtu </w:t>
      </w:r>
      <w:r w:rsidRPr="00F05AFF">
        <w:rPr>
          <w:b w:val="0"/>
          <w:spacing w:val="0"/>
        </w:rPr>
        <w:t>v</w:t>
      </w:r>
      <w:r>
        <w:rPr>
          <w:b w:val="0"/>
          <w:spacing w:val="0"/>
        </w:rPr>
        <w:t> </w:t>
      </w:r>
      <w:r w:rsidRPr="00F05AFF">
        <w:rPr>
          <w:b w:val="0"/>
          <w:spacing w:val="0"/>
        </w:rPr>
        <w:t>letech</w:t>
      </w:r>
      <w:r>
        <w:rPr>
          <w:b w:val="0"/>
          <w:spacing w:val="0"/>
        </w:rPr>
        <w:t xml:space="preserve"> </w:t>
      </w:r>
      <w:r w:rsidRPr="00F05AFF">
        <w:rPr>
          <w:b w:val="0"/>
          <w:spacing w:val="0"/>
        </w:rPr>
        <w:t>20</w:t>
      </w:r>
      <w:r w:rsidR="00E12330">
        <w:rPr>
          <w:b w:val="0"/>
          <w:spacing w:val="0"/>
        </w:rPr>
        <w:t>19</w:t>
      </w:r>
      <w:r w:rsidR="00EC0DBC">
        <w:rPr>
          <w:b w:val="0"/>
          <w:spacing w:val="0"/>
        </w:rPr>
        <w:t xml:space="preserve"> - 202</w:t>
      </w:r>
      <w:r w:rsidR="00835975">
        <w:rPr>
          <w:b w:val="0"/>
          <w:spacing w:val="0"/>
        </w:rPr>
        <w:t>1</w:t>
      </w:r>
      <w:r w:rsidRPr="00F05AFF">
        <w:rPr>
          <w:b w:val="0"/>
          <w:spacing w:val="0"/>
        </w:rPr>
        <w:t>.</w:t>
      </w:r>
    </w:p>
    <w:p w:rsidR="0014705E" w:rsidRPr="0014705E" w:rsidRDefault="0014705E" w:rsidP="00031D28">
      <w:pPr>
        <w:pStyle w:val="vlevo"/>
      </w:pPr>
    </w:p>
    <w:p w:rsidR="00346C94" w:rsidRDefault="00D415BB" w:rsidP="00F05AFF">
      <w:pPr>
        <w:pStyle w:val="ostzahl"/>
      </w:pPr>
      <w:r>
        <w:t>Konstatování současného stavu a jeho analýza</w:t>
      </w:r>
    </w:p>
    <w:p w:rsidR="00346C94" w:rsidRPr="00E37E44" w:rsidRDefault="00107E07" w:rsidP="00E37E44">
      <w:pPr>
        <w:pStyle w:val="ostzahl"/>
        <w:numPr>
          <w:ilvl w:val="0"/>
          <w:numId w:val="0"/>
        </w:numPr>
        <w:rPr>
          <w:b w:val="0"/>
          <w:spacing w:val="0"/>
        </w:rPr>
      </w:pPr>
      <w:r w:rsidRPr="00E37E44">
        <w:rPr>
          <w:b w:val="0"/>
          <w:spacing w:val="0"/>
        </w:rPr>
        <w:t>Východiska pro stanovení</w:t>
      </w:r>
      <w:r w:rsidR="00346C94" w:rsidRPr="00E37E44">
        <w:rPr>
          <w:b w:val="0"/>
          <w:spacing w:val="0"/>
        </w:rPr>
        <w:t> </w:t>
      </w:r>
      <w:r w:rsidR="00B613A1" w:rsidRPr="00E37E44">
        <w:rPr>
          <w:b w:val="0"/>
          <w:spacing w:val="0"/>
        </w:rPr>
        <w:t>finančního vztahu rozpočtu města k rozpočtům městských obvodů</w:t>
      </w:r>
      <w:r w:rsidRPr="00E37E44">
        <w:rPr>
          <w:b w:val="0"/>
          <w:spacing w:val="0"/>
        </w:rPr>
        <w:t xml:space="preserve"> na rok 201</w:t>
      </w:r>
      <w:r w:rsidR="00835975" w:rsidRPr="00E37E44">
        <w:rPr>
          <w:b w:val="0"/>
          <w:spacing w:val="0"/>
        </w:rPr>
        <w:t>8</w:t>
      </w:r>
      <w:r w:rsidR="00B613A1" w:rsidRPr="00E37E44">
        <w:rPr>
          <w:b w:val="0"/>
          <w:spacing w:val="0"/>
        </w:rPr>
        <w:t xml:space="preserve"> a </w:t>
      </w:r>
      <w:r w:rsidR="00835975" w:rsidRPr="00E37E44">
        <w:rPr>
          <w:b w:val="0"/>
          <w:spacing w:val="0"/>
        </w:rPr>
        <w:t xml:space="preserve">střednědobý </w:t>
      </w:r>
      <w:r w:rsidR="00B613A1" w:rsidRPr="00E37E44">
        <w:rPr>
          <w:b w:val="0"/>
          <w:spacing w:val="0"/>
        </w:rPr>
        <w:t>výhled</w:t>
      </w:r>
      <w:r w:rsidR="00835975" w:rsidRPr="00E37E44">
        <w:rPr>
          <w:b w:val="0"/>
          <w:spacing w:val="0"/>
        </w:rPr>
        <w:t xml:space="preserve"> rozpočtu</w:t>
      </w:r>
      <w:r w:rsidR="00D33910" w:rsidRPr="00E37E44">
        <w:rPr>
          <w:b w:val="0"/>
          <w:spacing w:val="0"/>
        </w:rPr>
        <w:t>:</w:t>
      </w:r>
    </w:p>
    <w:p w:rsidR="00B613A1" w:rsidRDefault="00B613A1" w:rsidP="00115BF5">
      <w:pPr>
        <w:pStyle w:val="ostzahl"/>
        <w:numPr>
          <w:ilvl w:val="0"/>
          <w:numId w:val="0"/>
        </w:numPr>
        <w:jc w:val="both"/>
        <w:rPr>
          <w:spacing w:val="0"/>
        </w:rPr>
      </w:pPr>
      <w:r>
        <w:rPr>
          <w:spacing w:val="0"/>
        </w:rPr>
        <w:t xml:space="preserve">2.1. Podíl </w:t>
      </w:r>
      <w:r w:rsidR="00D33910">
        <w:rPr>
          <w:spacing w:val="0"/>
        </w:rPr>
        <w:t xml:space="preserve">MO </w:t>
      </w:r>
      <w:r>
        <w:rPr>
          <w:spacing w:val="0"/>
        </w:rPr>
        <w:t>na příjmech z cizích daní</w:t>
      </w:r>
    </w:p>
    <w:p w:rsidR="003B2E09" w:rsidRPr="00B613A1" w:rsidRDefault="00346C94" w:rsidP="00115BF5">
      <w:pPr>
        <w:pStyle w:val="ostzahl"/>
        <w:numPr>
          <w:ilvl w:val="0"/>
          <w:numId w:val="0"/>
        </w:numPr>
        <w:jc w:val="both"/>
        <w:rPr>
          <w:spacing w:val="0"/>
        </w:rPr>
      </w:pPr>
      <w:r w:rsidRPr="00D33910">
        <w:rPr>
          <w:b w:val="0"/>
          <w:spacing w:val="0"/>
          <w:u w:val="single"/>
        </w:rPr>
        <w:t>Příjmy z</w:t>
      </w:r>
      <w:r w:rsidR="00107E07" w:rsidRPr="00D33910">
        <w:rPr>
          <w:b w:val="0"/>
          <w:spacing w:val="0"/>
          <w:u w:val="single"/>
        </w:rPr>
        <w:t xml:space="preserve"> cizích </w:t>
      </w:r>
      <w:r w:rsidRPr="00D33910">
        <w:rPr>
          <w:b w:val="0"/>
          <w:spacing w:val="0"/>
          <w:u w:val="single"/>
        </w:rPr>
        <w:t>daní</w:t>
      </w:r>
      <w:r w:rsidR="00107E07" w:rsidRPr="0014705E">
        <w:rPr>
          <w:b w:val="0"/>
          <w:spacing w:val="0"/>
        </w:rPr>
        <w:t xml:space="preserve"> </w:t>
      </w:r>
      <w:r w:rsidR="00DD2221" w:rsidRPr="0014705E">
        <w:rPr>
          <w:b w:val="0"/>
          <w:spacing w:val="0"/>
        </w:rPr>
        <w:t>(</w:t>
      </w:r>
      <w:r w:rsidR="00DD2221" w:rsidRPr="00DD2221">
        <w:rPr>
          <w:b w:val="0"/>
          <w:spacing w:val="0"/>
        </w:rPr>
        <w:t>tj. daňové příjmy města dle zákona č. 243/2000 Sb., o rozpočtovém určení daní vyjma daně z příjmů právnických osob, kde je poplatníkem město Plzeň)</w:t>
      </w:r>
    </w:p>
    <w:p w:rsidR="00DD2221" w:rsidRDefault="00FB7008" w:rsidP="00AF6AD6">
      <w:pPr>
        <w:jc w:val="both"/>
      </w:pPr>
      <w:r>
        <w:t>Východiskem pro stanovení příjmů z cizích daní v rozpočtu města na rok 201</w:t>
      </w:r>
      <w:r w:rsidR="00835975">
        <w:t>8</w:t>
      </w:r>
      <w:r>
        <w:t xml:space="preserve"> byla především očekávaná skutečnost roku 201</w:t>
      </w:r>
      <w:r w:rsidR="00835975">
        <w:t>7</w:t>
      </w:r>
      <w:r>
        <w:t xml:space="preserve"> a dále </w:t>
      </w:r>
      <w:r w:rsidR="00EC0DBC">
        <w:t xml:space="preserve">podklady </w:t>
      </w:r>
      <w:r>
        <w:t>MF ČR</w:t>
      </w:r>
      <w:r w:rsidR="00EC0DBC">
        <w:t xml:space="preserve"> předložené v rámci návrhu </w:t>
      </w:r>
      <w:r w:rsidR="00C66426">
        <w:t>z</w:t>
      </w:r>
      <w:r w:rsidR="00EC0DBC">
        <w:t>ákona o státním rozpočtu na rok 201</w:t>
      </w:r>
      <w:r w:rsidR="00835975">
        <w:t>8</w:t>
      </w:r>
      <w:r>
        <w:t>.</w:t>
      </w:r>
      <w:r w:rsidR="00AF6AD6">
        <w:t xml:space="preserve"> </w:t>
      </w:r>
      <w:r w:rsidRPr="00FB7008">
        <w:t xml:space="preserve">Očekávaná skutečnost </w:t>
      </w:r>
      <w:r>
        <w:t>je</w:t>
      </w:r>
      <w:r w:rsidRPr="00FB7008">
        <w:t xml:space="preserve"> stanovena s ohledem na skutečné plnění příjmů z cizích daní</w:t>
      </w:r>
      <w:r w:rsidR="00EC0DBC">
        <w:t xml:space="preserve"> </w:t>
      </w:r>
      <w:r w:rsidRPr="00FB7008">
        <w:t>k 3</w:t>
      </w:r>
      <w:r w:rsidR="00EC0DBC">
        <w:t>0</w:t>
      </w:r>
      <w:r w:rsidRPr="00FB7008">
        <w:t xml:space="preserve">. </w:t>
      </w:r>
      <w:r w:rsidR="00EC0DBC">
        <w:t>9</w:t>
      </w:r>
      <w:r w:rsidRPr="00FB7008">
        <w:t>. 201</w:t>
      </w:r>
      <w:r w:rsidR="00835975">
        <w:t>7</w:t>
      </w:r>
      <w:r w:rsidR="00FC23DB">
        <w:t>.</w:t>
      </w:r>
    </w:p>
    <w:p w:rsidR="00C529A1" w:rsidRDefault="00FB7008" w:rsidP="006F131D">
      <w:pPr>
        <w:jc w:val="both"/>
      </w:pPr>
      <w:r w:rsidRPr="00E82028">
        <w:t>Návrh zapracovaný do rozpočtu města na rok 201</w:t>
      </w:r>
      <w:r w:rsidR="00835975">
        <w:t>8</w:t>
      </w:r>
      <w:r w:rsidRPr="00E82028">
        <w:t xml:space="preserve"> uvažuje s meziročním nárůstem </w:t>
      </w:r>
      <w:r w:rsidR="00E82028" w:rsidRPr="00E82028">
        <w:t>příjmů z cizích</w:t>
      </w:r>
      <w:r w:rsidRPr="00E82028">
        <w:t xml:space="preserve"> daní (+) </w:t>
      </w:r>
      <w:r w:rsidR="00E12330">
        <w:t>9,1</w:t>
      </w:r>
      <w:r w:rsidRPr="00E82028">
        <w:t>% k očekávané skutečnosti 201</w:t>
      </w:r>
      <w:r w:rsidR="00B23270">
        <w:t>7</w:t>
      </w:r>
      <w:r w:rsidRPr="00E82028">
        <w:t>.</w:t>
      </w:r>
      <w:r w:rsidR="00CB5D11">
        <w:t xml:space="preserve"> </w:t>
      </w:r>
      <w:r w:rsidR="006F131D">
        <w:t>Na</w:t>
      </w:r>
      <w:r w:rsidR="00032217">
        <w:t> </w:t>
      </w:r>
      <w:r w:rsidR="006F131D">
        <w:t xml:space="preserve">uvedený meziroční nárůst má významný vliv </w:t>
      </w:r>
      <w:r w:rsidR="002007A8">
        <w:t>poslední změna zákona č. 243/2000 Sb., o rozpočtovém určení daní, kdy s účinností od 1.</w:t>
      </w:r>
      <w:r w:rsidR="009B167E">
        <w:t xml:space="preserve"> </w:t>
      </w:r>
      <w:r w:rsidR="002007A8">
        <w:t>1.</w:t>
      </w:r>
      <w:r w:rsidR="009B167E">
        <w:t xml:space="preserve"> </w:t>
      </w:r>
      <w:r w:rsidR="002007A8">
        <w:t>201</w:t>
      </w:r>
      <w:r w:rsidR="00B23270">
        <w:t>8</w:t>
      </w:r>
      <w:r w:rsidR="00C529A1">
        <w:t xml:space="preserve"> dochází k následujícím změnám:</w:t>
      </w:r>
    </w:p>
    <w:p w:rsidR="00C529A1" w:rsidRDefault="002007A8" w:rsidP="00E37E44">
      <w:pPr>
        <w:numPr>
          <w:ilvl w:val="0"/>
          <w:numId w:val="14"/>
        </w:numPr>
        <w:jc w:val="both"/>
      </w:pPr>
      <w:r>
        <w:t>navýšení % podílu obcí na celostátním výběru daně z přidané hodnoty z 2</w:t>
      </w:r>
      <w:r w:rsidR="00B23270">
        <w:t>1</w:t>
      </w:r>
      <w:r>
        <w:t>,</w:t>
      </w:r>
      <w:r w:rsidR="00B23270">
        <w:t>4</w:t>
      </w:r>
      <w:r>
        <w:t>% na 2</w:t>
      </w:r>
      <w:r w:rsidR="00B23270">
        <w:t>3</w:t>
      </w:r>
      <w:r>
        <w:t>,</w:t>
      </w:r>
      <w:r w:rsidR="00B23270">
        <w:t>58</w:t>
      </w:r>
      <w:r>
        <w:t>%</w:t>
      </w:r>
    </w:p>
    <w:p w:rsidR="002007A8" w:rsidRDefault="00B23270" w:rsidP="00E37E44">
      <w:pPr>
        <w:numPr>
          <w:ilvl w:val="0"/>
          <w:numId w:val="14"/>
        </w:numPr>
        <w:jc w:val="both"/>
      </w:pPr>
      <w:r>
        <w:t xml:space="preserve">navýšení kritéria </w:t>
      </w:r>
      <w:r w:rsidRPr="00B23270">
        <w:t>počtu žáků navštěvujících školu zřizovanou obcí ze 7 na 9 %</w:t>
      </w:r>
      <w:r w:rsidR="00C529A1">
        <w:t xml:space="preserve">, kdy </w:t>
      </w:r>
      <w:r w:rsidRPr="00B23270">
        <w:t>úměrně tomu se snižuje kritérium koeficientu postupných přechodů u ostatních obcí a přepočítacího koeficientu u hlavního města Prahy, Plzně</w:t>
      </w:r>
      <w:r w:rsidR="00E03995">
        <w:t>, Ostravy a Brna z 80 % na 78 % (</w:t>
      </w:r>
      <w:r w:rsidR="00E12330">
        <w:t xml:space="preserve">uvedená kritéria spolu s </w:t>
      </w:r>
      <w:r w:rsidR="00E03995">
        <w:t>kritéri</w:t>
      </w:r>
      <w:r w:rsidR="00E12330">
        <w:t>i</w:t>
      </w:r>
      <w:r w:rsidR="00E03995">
        <w:t xml:space="preserve"> dle</w:t>
      </w:r>
      <w:r w:rsidR="006F131D">
        <w:t xml:space="preserve"> výměry katastrálního území </w:t>
      </w:r>
      <w:r w:rsidR="00E03995">
        <w:t xml:space="preserve">obce </w:t>
      </w:r>
      <w:r w:rsidR="003E0311">
        <w:t xml:space="preserve">váha </w:t>
      </w:r>
      <w:r w:rsidR="00E03995">
        <w:t xml:space="preserve">3% a dle prostého počtu obyvatel obce </w:t>
      </w:r>
      <w:r w:rsidR="003E0311">
        <w:t xml:space="preserve">váha </w:t>
      </w:r>
      <w:r w:rsidR="00E03995">
        <w:t>10% jsou východiskem pro stanovení podílu jednotlivých obcí na celostátním výběru sdílených daní)</w:t>
      </w:r>
    </w:p>
    <w:p w:rsidR="006F131D" w:rsidRDefault="006F131D" w:rsidP="006F131D">
      <w:pPr>
        <w:jc w:val="both"/>
      </w:pPr>
      <w:r>
        <w:t>Meziroční nárůst příjmů z cizích daní bez uvedených změn zákona o rozpočtovém určení daní</w:t>
      </w:r>
      <w:r w:rsidR="00AF6B60">
        <w:t xml:space="preserve"> by představoval cca (+) 5,0%.</w:t>
      </w:r>
      <w:r>
        <w:t xml:space="preserve"> </w:t>
      </w:r>
    </w:p>
    <w:p w:rsidR="00181EB4" w:rsidRDefault="00AF6B60" w:rsidP="00AF6B60">
      <w:pPr>
        <w:jc w:val="both"/>
      </w:pPr>
      <w:r>
        <w:t>V návrhu rozpočtu příjmů z</w:t>
      </w:r>
      <w:r w:rsidR="009B167E">
        <w:t xml:space="preserve"> cizích </w:t>
      </w:r>
      <w:r>
        <w:t xml:space="preserve">daní na rok 2018 je </w:t>
      </w:r>
      <w:r w:rsidR="009B167E">
        <w:t>dále zohledněna</w:t>
      </w:r>
      <w:r>
        <w:t xml:space="preserve"> </w:t>
      </w:r>
      <w:r w:rsidR="009B167E">
        <w:t>predikce daňových příjmů státního rozpočtu</w:t>
      </w:r>
      <w:r w:rsidR="00181EB4">
        <w:t xml:space="preserve"> vyplývající z</w:t>
      </w:r>
      <w:r w:rsidR="00C66426">
        <w:t xml:space="preserve"> aktuální </w:t>
      </w:r>
      <w:r w:rsidR="00181EB4">
        <w:t>makroekonomické predikce</w:t>
      </w:r>
      <w:r w:rsidR="00C66426">
        <w:t xml:space="preserve"> MF ČR, současné </w:t>
      </w:r>
      <w:r w:rsidR="00E03995">
        <w:t xml:space="preserve">příznivé </w:t>
      </w:r>
      <w:r w:rsidR="00C66426">
        <w:t>ekonomické situace</w:t>
      </w:r>
      <w:r w:rsidR="00181EB4">
        <w:t xml:space="preserve"> </w:t>
      </w:r>
      <w:r w:rsidR="003E0311">
        <w:t xml:space="preserve">v ČR, </w:t>
      </w:r>
      <w:r w:rsidR="00181EB4">
        <w:t>legislativních změn jako napřík</w:t>
      </w:r>
      <w:r w:rsidR="00A23975">
        <w:t>lad</w:t>
      </w:r>
      <w:r w:rsidR="00E03995">
        <w:t xml:space="preserve"> </w:t>
      </w:r>
      <w:r w:rsidR="00181EB4">
        <w:t xml:space="preserve">zvýšení platů zaměstnanců ve </w:t>
      </w:r>
      <w:r w:rsidR="00E03995">
        <w:t>veřejném</w:t>
      </w:r>
      <w:r w:rsidR="00181EB4">
        <w:t xml:space="preserve"> sektoru (pozitivní vliv)</w:t>
      </w:r>
      <w:r w:rsidR="00A23975">
        <w:t>,</w:t>
      </w:r>
      <w:r w:rsidR="00181EB4">
        <w:t xml:space="preserve"> další daňové zvýhodnění na </w:t>
      </w:r>
      <w:r w:rsidR="003E0311">
        <w:t>první</w:t>
      </w:r>
      <w:r w:rsidR="00181EB4">
        <w:t xml:space="preserve"> dítě (negativní vliv)</w:t>
      </w:r>
      <w:r w:rsidR="003E0311">
        <w:t xml:space="preserve"> a dalších opatření, která byla zavedena v minulých letech zejména kontrolní hlášení (pozitivní vliv) a postupný náběh elektronické evidence tržeb (pozitivní vliv).</w:t>
      </w:r>
    </w:p>
    <w:p w:rsidR="00FB7008" w:rsidRDefault="00A23975" w:rsidP="00FB7008">
      <w:pPr>
        <w:jc w:val="both"/>
      </w:pPr>
      <w:r>
        <w:t>Vývoj sdílených daní ve výhledových l</w:t>
      </w:r>
      <w:r w:rsidR="00FB7008" w:rsidRPr="00D9091B">
        <w:t>etech 20</w:t>
      </w:r>
      <w:r w:rsidR="00C66426">
        <w:t>1</w:t>
      </w:r>
      <w:r>
        <w:t>9</w:t>
      </w:r>
      <w:r w:rsidR="00FB7008" w:rsidRPr="00D9091B">
        <w:t xml:space="preserve"> </w:t>
      </w:r>
      <w:r w:rsidR="00C66426">
        <w:t xml:space="preserve">- </w:t>
      </w:r>
      <w:r w:rsidR="00FB7008" w:rsidRPr="00D9091B">
        <w:t>20</w:t>
      </w:r>
      <w:r w:rsidR="00C66426">
        <w:t>2</w:t>
      </w:r>
      <w:r>
        <w:t>1</w:t>
      </w:r>
      <w:r w:rsidR="00FB7008" w:rsidRPr="00D9091B">
        <w:t xml:space="preserve"> </w:t>
      </w:r>
      <w:r w:rsidR="00032217" w:rsidRPr="00D9091B">
        <w:t>je sestaven s</w:t>
      </w:r>
      <w:r w:rsidR="00D9091B" w:rsidRPr="00D9091B">
        <w:t xml:space="preserve"> </w:t>
      </w:r>
      <w:r w:rsidR="00032217" w:rsidRPr="00D9091B">
        <w:t xml:space="preserve">předpokladem </w:t>
      </w:r>
      <w:r w:rsidR="00C66426">
        <w:t>dalšího pozitivního vývoje</w:t>
      </w:r>
      <w:r w:rsidR="00032217" w:rsidRPr="00D9091B">
        <w:t xml:space="preserve"> ekonomiky</w:t>
      </w:r>
      <w:r>
        <w:t xml:space="preserve"> </w:t>
      </w:r>
      <w:r w:rsidR="00C66426">
        <w:t>v současném legislativním prostředí</w:t>
      </w:r>
      <w:r w:rsidR="00E82028" w:rsidRPr="00D9091B">
        <w:t>.</w:t>
      </w:r>
    </w:p>
    <w:p w:rsidR="00B613A1" w:rsidRDefault="00B613A1" w:rsidP="00FB7008">
      <w:pPr>
        <w:jc w:val="both"/>
      </w:pPr>
    </w:p>
    <w:p w:rsidR="00187F4A" w:rsidRDefault="00B613A1" w:rsidP="00187F4A">
      <w:pPr>
        <w:jc w:val="both"/>
      </w:pPr>
      <w:r>
        <w:t>P</w:t>
      </w:r>
      <w:r w:rsidR="006C2C54">
        <w:t>rocentní podíl městských obvodů</w:t>
      </w:r>
      <w:r>
        <w:t xml:space="preserve"> na pří</w:t>
      </w:r>
      <w:r w:rsidR="00A23975">
        <w:t>jmech z cizích daní pro rok 2018</w:t>
      </w:r>
      <w:r>
        <w:t xml:space="preserve"> vychází z naposledy schváleného </w:t>
      </w:r>
      <w:r w:rsidR="00A23975">
        <w:t xml:space="preserve">střednědobého </w:t>
      </w:r>
      <w:r>
        <w:t>výhledu</w:t>
      </w:r>
      <w:r w:rsidR="00A23975">
        <w:t xml:space="preserve"> rozpočtu</w:t>
      </w:r>
      <w:r w:rsidR="00187F4A">
        <w:t>. Souhrnný</w:t>
      </w:r>
      <w:r>
        <w:t xml:space="preserve"> </w:t>
      </w:r>
      <w:r w:rsidR="00A23975">
        <w:t xml:space="preserve">podíl </w:t>
      </w:r>
      <w:r w:rsidR="006C2C54">
        <w:t xml:space="preserve">městských obvodů 1 – </w:t>
      </w:r>
      <w:proofErr w:type="gramStart"/>
      <w:r w:rsidR="006C2C54">
        <w:t xml:space="preserve">10 </w:t>
      </w:r>
      <w:r w:rsidR="00A23975">
        <w:t xml:space="preserve"> </w:t>
      </w:r>
      <w:r>
        <w:t>ve</w:t>
      </w:r>
      <w:proofErr w:type="gramEnd"/>
      <w:r>
        <w:t xml:space="preserve"> výši 11,0197% </w:t>
      </w:r>
      <w:r w:rsidR="00187F4A">
        <w:t xml:space="preserve">zůstává zachován. Od roku 2018 dochází </w:t>
      </w:r>
      <w:r w:rsidR="00A23975">
        <w:t xml:space="preserve">k úpravě podílu MO Plzeň 6 – Litice a MO Plzeň 9 – Lhota z důvodu rozdělení 56. MŠ usnesením ZMP č. </w:t>
      </w:r>
      <w:r w:rsidR="00187F4A">
        <w:t>20</w:t>
      </w:r>
      <w:r w:rsidR="00A23975">
        <w:t xml:space="preserve"> ze dne</w:t>
      </w:r>
      <w:r w:rsidR="00187F4A">
        <w:t xml:space="preserve"> </w:t>
      </w:r>
      <w:proofErr w:type="gramStart"/>
      <w:r w:rsidR="00187F4A">
        <w:t>2.2.2017</w:t>
      </w:r>
      <w:proofErr w:type="gramEnd"/>
      <w:r w:rsidR="00187F4A">
        <w:t>.</w:t>
      </w:r>
      <w:r w:rsidR="006C2C54">
        <w:t xml:space="preserve"> </w:t>
      </w:r>
      <w:r w:rsidR="00710E0D" w:rsidRPr="00710E0D">
        <w:t xml:space="preserve">Úprava procentních podílů dotčených městských obvodů vychází z principů </w:t>
      </w:r>
      <w:r w:rsidR="00710E0D" w:rsidRPr="00710E0D">
        <w:lastRenderedPageBreak/>
        <w:t>konstr</w:t>
      </w:r>
      <w:r w:rsidR="00576B0F">
        <w:t>ukce finančního</w:t>
      </w:r>
      <w:r w:rsidR="00F42772">
        <w:t xml:space="preserve"> vztahu schváleného</w:t>
      </w:r>
      <w:r w:rsidR="00710E0D" w:rsidRPr="00710E0D">
        <w:t xml:space="preserve"> usnesením ZMP č. 295 ze dne 12. 6. 2014. Na základě těchto principů je do finančního vztahu promítnuta změna výše výdajového standardu pro oblast školství, kdy došlo k přepočtu ukazatele provozního příspěvku MŠ v závislosti na kritériu počtu dětí.   </w:t>
      </w:r>
      <w:r w:rsidR="009422CD">
        <w:t>V důsledku</w:t>
      </w:r>
      <w:r w:rsidR="00710E0D" w:rsidRPr="00710E0D">
        <w:t xml:space="preserve"> tohoto přepočtu je navržena změna procentních podílů ve výši (-) 0,0118 % pro MO Plzeň 6 - Litice a (+) 0,0118 % pro MO Plzeň 10 – Lhota.</w:t>
      </w:r>
    </w:p>
    <w:p w:rsidR="00B613A1" w:rsidRDefault="00A23975" w:rsidP="00FB7008">
      <w:pPr>
        <w:jc w:val="both"/>
      </w:pPr>
      <w:r>
        <w:t xml:space="preserve">% podíl jednotlivých </w:t>
      </w:r>
      <w:r w:rsidR="00710E0D">
        <w:t>městských obvodů</w:t>
      </w:r>
      <w:r>
        <w:t xml:space="preserve"> stanovený pro rok 2018 </w:t>
      </w:r>
      <w:r w:rsidR="00B613A1">
        <w:t>je použit i ve všech výhledových letech 201</w:t>
      </w:r>
      <w:r>
        <w:t>9</w:t>
      </w:r>
      <w:r w:rsidR="00B613A1">
        <w:t xml:space="preserve"> – 202</w:t>
      </w:r>
      <w:r>
        <w:t>1</w:t>
      </w:r>
      <w:r w:rsidR="00B613A1">
        <w:t xml:space="preserve">. </w:t>
      </w:r>
    </w:p>
    <w:p w:rsidR="00FB7008" w:rsidRDefault="00FB7008" w:rsidP="00FB7008">
      <w:pPr>
        <w:jc w:val="both"/>
      </w:pPr>
    </w:p>
    <w:tbl>
      <w:tblPr>
        <w:tblpPr w:leftFromText="141" w:rightFromText="141" w:vertAnchor="text" w:horzAnchor="margin" w:tblpY="136"/>
        <w:tblW w:w="91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50"/>
        <w:gridCol w:w="1247"/>
        <w:gridCol w:w="1247"/>
        <w:gridCol w:w="1248"/>
        <w:gridCol w:w="1247"/>
        <w:gridCol w:w="1276"/>
      </w:tblGrid>
      <w:tr w:rsidR="00FB7008" w:rsidTr="00CD4150">
        <w:trPr>
          <w:trHeight w:val="1077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008" w:rsidRPr="0092251A" w:rsidRDefault="00FB7008" w:rsidP="00CD4150">
            <w:pPr>
              <w:pStyle w:val="Nadpis6"/>
              <w:rPr>
                <w:rFonts w:eastAsia="Arial Unicode MS" w:cs="Arial"/>
                <w:sz w:val="20"/>
                <w:lang w:val="cs-CZ" w:eastAsia="cs-CZ"/>
              </w:rPr>
            </w:pPr>
            <w:r w:rsidRPr="0092251A">
              <w:rPr>
                <w:rFonts w:eastAsia="Arial Unicode MS" w:cs="Arial"/>
                <w:sz w:val="20"/>
                <w:lang w:val="cs-CZ" w:eastAsia="cs-CZ"/>
              </w:rPr>
              <w:t>Příjmy MP z cizích daní</w:t>
            </w:r>
          </w:p>
          <w:p w:rsidR="00FB7008" w:rsidRDefault="00FB7008" w:rsidP="00CD4150">
            <w:pPr>
              <w:rPr>
                <w:rFonts w:eastAsia="Arial Unicode MS"/>
              </w:rPr>
            </w:pPr>
          </w:p>
          <w:p w:rsidR="00FB7008" w:rsidRPr="00255244" w:rsidRDefault="00FF13DF" w:rsidP="00FF13D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 mil</w:t>
            </w:r>
            <w:r w:rsidR="00FB7008" w:rsidRPr="00255244">
              <w:rPr>
                <w:rFonts w:ascii="Arial" w:eastAsia="Arial Unicode MS" w:hAnsi="Arial" w:cs="Arial"/>
                <w:sz w:val="20"/>
                <w:szCs w:val="20"/>
              </w:rPr>
              <w:t>. Kč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008" w:rsidRDefault="00FB7008" w:rsidP="00F5414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Oček. 201</w:t>
            </w:r>
            <w:r w:rsidR="00F541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008" w:rsidRPr="00480684" w:rsidRDefault="00FB7008" w:rsidP="00F5414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Návrh 201</w:t>
            </w:r>
            <w:r w:rsidR="00F541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008" w:rsidRPr="00B14D84" w:rsidRDefault="00FB7008" w:rsidP="00F5414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Výhled 201</w:t>
            </w:r>
            <w:r w:rsidR="00F541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008" w:rsidRPr="00B14D84" w:rsidRDefault="00FB7008" w:rsidP="00F5414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Výhled 20</w:t>
            </w:r>
            <w:r w:rsidR="00F541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008" w:rsidRDefault="00FB7008" w:rsidP="00F5414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Výhled 20</w:t>
            </w:r>
            <w:r w:rsidR="002564A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</w:t>
            </w:r>
            <w:r w:rsidR="00F541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B7008" w:rsidTr="00CD4150">
        <w:trPr>
          <w:trHeight w:val="259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BF494E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1 850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2007A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2 120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2 200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2 250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2 300</w:t>
            </w:r>
          </w:p>
        </w:tc>
      </w:tr>
      <w:tr w:rsidR="00FB7008" w:rsidTr="00CD4150">
        <w:trPr>
          <w:trHeight w:val="259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>DPPO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E8202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980</w:t>
            </w:r>
          </w:p>
        </w:tc>
      </w:tr>
      <w:tr w:rsidR="00FB7008" w:rsidTr="00CD4150">
        <w:trPr>
          <w:trHeight w:val="259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>DPFO - zvláštní sazba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2007A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</w:t>
            </w:r>
          </w:p>
        </w:tc>
      </w:tr>
      <w:tr w:rsidR="00FB7008" w:rsidTr="00CD4150">
        <w:trPr>
          <w:trHeight w:val="259"/>
        </w:trPr>
        <w:tc>
          <w:tcPr>
            <w:tcW w:w="2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 xml:space="preserve">DPFO ze závislé činnosti - </w:t>
            </w:r>
            <w:proofErr w:type="spellStart"/>
            <w:r w:rsidRPr="00B14D84">
              <w:rPr>
                <w:rFonts w:ascii="Arial" w:hAnsi="Arial" w:cs="Arial"/>
                <w:sz w:val="20"/>
                <w:szCs w:val="20"/>
              </w:rPr>
              <w:t>sdíl</w:t>
            </w:r>
            <w:proofErr w:type="spellEnd"/>
            <w:r w:rsidRPr="00B14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E8202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E8202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965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1 040</w:t>
            </w:r>
          </w:p>
        </w:tc>
      </w:tr>
      <w:tr w:rsidR="00FB7008" w:rsidTr="00CD4150">
        <w:trPr>
          <w:trHeight w:val="259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>DPFO ze závislé činnosti 1,5 %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80</w:t>
            </w:r>
          </w:p>
        </w:tc>
      </w:tr>
      <w:tr w:rsidR="00FB7008" w:rsidTr="00CD4150">
        <w:trPr>
          <w:trHeight w:val="259"/>
        </w:trPr>
        <w:tc>
          <w:tcPr>
            <w:tcW w:w="2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>DPFO z podnikání 30 %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B7008" w:rsidTr="00CD4150">
        <w:trPr>
          <w:trHeight w:val="259"/>
        </w:trPr>
        <w:tc>
          <w:tcPr>
            <w:tcW w:w="2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 xml:space="preserve">DPFO z podnikání - </w:t>
            </w:r>
            <w:proofErr w:type="spellStart"/>
            <w:r w:rsidRPr="00B14D84">
              <w:rPr>
                <w:rFonts w:ascii="Arial" w:hAnsi="Arial" w:cs="Arial"/>
                <w:sz w:val="20"/>
                <w:szCs w:val="20"/>
              </w:rPr>
              <w:t>sdíl</w:t>
            </w:r>
            <w:proofErr w:type="spellEnd"/>
            <w:r w:rsidRPr="00B14D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</w:tr>
      <w:tr w:rsidR="00FB7008" w:rsidTr="00CD4150">
        <w:trPr>
          <w:trHeight w:val="274"/>
        </w:trPr>
        <w:tc>
          <w:tcPr>
            <w:tcW w:w="2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008" w:rsidRPr="00B14D84" w:rsidRDefault="00FB7008" w:rsidP="00CD415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14D84">
              <w:rPr>
                <w:rFonts w:ascii="Arial" w:hAnsi="Arial" w:cs="Arial"/>
                <w:sz w:val="20"/>
                <w:szCs w:val="20"/>
              </w:rPr>
              <w:t>Daň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14D84">
              <w:rPr>
                <w:rFonts w:ascii="Arial" w:hAnsi="Arial" w:cs="Arial"/>
                <w:sz w:val="20"/>
                <w:szCs w:val="20"/>
              </w:rPr>
              <w:t>nemovitosti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B7008" w:rsidRPr="00E82028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008" w:rsidRPr="00B14D84" w:rsidRDefault="009422CD" w:rsidP="00CD415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140</w:t>
            </w:r>
          </w:p>
        </w:tc>
      </w:tr>
      <w:tr w:rsidR="00FB7008" w:rsidTr="00CD4150">
        <w:trPr>
          <w:trHeight w:val="274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008" w:rsidRPr="00B14D84" w:rsidRDefault="00FB7008" w:rsidP="00CD41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4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008" w:rsidRPr="00E82028" w:rsidRDefault="009422CD" w:rsidP="002007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3 969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54521C" w:rsidRDefault="009422CD" w:rsidP="002007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4 330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54521C" w:rsidRDefault="009422CD" w:rsidP="002007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4 480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FB7008" w:rsidRPr="0054521C" w:rsidRDefault="009422CD" w:rsidP="002007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4 570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7008" w:rsidRPr="0054521C" w:rsidRDefault="009422CD" w:rsidP="00CB5D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4 665</w:t>
            </w:r>
          </w:p>
        </w:tc>
      </w:tr>
      <w:tr w:rsidR="00CB5D11" w:rsidRPr="00D9091B" w:rsidTr="00CD4150">
        <w:trPr>
          <w:trHeight w:val="274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D11" w:rsidRPr="00285AA7" w:rsidRDefault="00CB5D11" w:rsidP="00CB5D11">
            <w:pPr>
              <w:rPr>
                <w:rFonts w:ascii="Arial" w:hAnsi="Arial" w:cs="Arial"/>
                <w:sz w:val="20"/>
                <w:szCs w:val="20"/>
              </w:rPr>
            </w:pPr>
            <w:r w:rsidRPr="00285AA7">
              <w:rPr>
                <w:rFonts w:ascii="Arial" w:hAnsi="Arial" w:cs="Arial"/>
                <w:sz w:val="20"/>
                <w:szCs w:val="20"/>
              </w:rPr>
              <w:t xml:space="preserve">meziroční </w:t>
            </w:r>
            <w:r>
              <w:rPr>
                <w:rFonts w:ascii="Arial" w:hAnsi="Arial" w:cs="Arial"/>
                <w:sz w:val="20"/>
                <w:szCs w:val="20"/>
              </w:rPr>
              <w:t>změna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5D11" w:rsidRPr="00326349" w:rsidRDefault="00CB5D11" w:rsidP="00CB5D11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CB5D11" w:rsidRPr="00D9091B" w:rsidRDefault="009422CD" w:rsidP="002007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9,1%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CB5D11" w:rsidRPr="00D9091B" w:rsidRDefault="009422CD" w:rsidP="002007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3,5%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CB5D11" w:rsidRPr="00D9091B" w:rsidRDefault="009422CD" w:rsidP="002007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D11" w:rsidRPr="00D9091B" w:rsidRDefault="009422CD" w:rsidP="00AC3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AC3F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FB7008" w:rsidRDefault="00FB7008" w:rsidP="00FB7008">
      <w:pPr>
        <w:jc w:val="both"/>
        <w:rPr>
          <w:sz w:val="20"/>
          <w:szCs w:val="20"/>
        </w:rPr>
      </w:pPr>
    </w:p>
    <w:p w:rsidR="002564A2" w:rsidRDefault="002564A2" w:rsidP="00FB7008">
      <w:pPr>
        <w:jc w:val="both"/>
        <w:rPr>
          <w:sz w:val="20"/>
          <w:szCs w:val="20"/>
        </w:rPr>
      </w:pPr>
      <w:r>
        <w:rPr>
          <w:sz w:val="20"/>
          <w:szCs w:val="20"/>
        </w:rPr>
        <w:t>DPH = daň z přidané hodnoty, DPPO = daň z příjmu právnických osob, DPFO = daň z příjmu fyzických osob</w:t>
      </w:r>
    </w:p>
    <w:p w:rsidR="00586025" w:rsidRDefault="00586025" w:rsidP="00230113">
      <w:pPr>
        <w:pStyle w:val="ostzahl"/>
        <w:numPr>
          <w:ilvl w:val="0"/>
          <w:numId w:val="0"/>
        </w:numPr>
        <w:jc w:val="both"/>
        <w:rPr>
          <w:spacing w:val="0"/>
        </w:rPr>
      </w:pPr>
    </w:p>
    <w:p w:rsidR="00346C94" w:rsidRPr="00310E4C" w:rsidRDefault="00B613A1" w:rsidP="00230113">
      <w:pPr>
        <w:pStyle w:val="ostzahl"/>
        <w:numPr>
          <w:ilvl w:val="0"/>
          <w:numId w:val="0"/>
        </w:numPr>
        <w:jc w:val="both"/>
      </w:pPr>
      <w:r>
        <w:rPr>
          <w:spacing w:val="0"/>
        </w:rPr>
        <w:t>2.2. Podíl MO na příspěvku na výkon státní správy</w:t>
      </w:r>
    </w:p>
    <w:p w:rsidR="00B03438" w:rsidRDefault="00586025" w:rsidP="00230113">
      <w:pPr>
        <w:jc w:val="both"/>
      </w:pPr>
      <w:r>
        <w:t>Další</w:t>
      </w:r>
      <w:r w:rsidR="00600E6D">
        <w:t xml:space="preserve"> příjmovou položkou, </w:t>
      </w:r>
      <w:r w:rsidR="00346C94">
        <w:t>na které se podílejí městské obvody</w:t>
      </w:r>
      <w:r w:rsidR="00D33910">
        <w:t>,</w:t>
      </w:r>
      <w:r w:rsidR="00600E6D">
        <w:t xml:space="preserve"> je </w:t>
      </w:r>
      <w:r>
        <w:t xml:space="preserve">příspěvek na výkon státní správy. Příspěvek na výkon státní správy je součástí </w:t>
      </w:r>
      <w:r w:rsidR="00600E6D">
        <w:t>tzv</w:t>
      </w:r>
      <w:r w:rsidR="00600E6D" w:rsidRPr="003F2C25">
        <w:t>. souhrnn</w:t>
      </w:r>
      <w:r>
        <w:t>ého</w:t>
      </w:r>
      <w:r w:rsidR="00600E6D" w:rsidRPr="003F2C25">
        <w:t xml:space="preserve"> dotační</w:t>
      </w:r>
      <w:r>
        <w:t>ho</w:t>
      </w:r>
      <w:r w:rsidR="00600E6D" w:rsidRPr="003F2C25">
        <w:t xml:space="preserve"> vztah</w:t>
      </w:r>
      <w:r>
        <w:t>u</w:t>
      </w:r>
      <w:r w:rsidR="00600E6D" w:rsidRPr="003F2C25">
        <w:t xml:space="preserve"> (</w:t>
      </w:r>
      <w:r w:rsidR="00600E6D">
        <w:t>provozní nároková dotace ze státního rozpočtu). Tato dotace je schvalována v rámci 1. č</w:t>
      </w:r>
      <w:r w:rsidR="002F296D">
        <w:t>te</w:t>
      </w:r>
      <w:r w:rsidR="00600E6D">
        <w:t xml:space="preserve">ní </w:t>
      </w:r>
      <w:r w:rsidR="002F296D">
        <w:t>z</w:t>
      </w:r>
      <w:r w:rsidR="00600E6D">
        <w:t xml:space="preserve">ákona </w:t>
      </w:r>
      <w:r w:rsidR="002F296D">
        <w:t>o státním rozpočtu v Poslanecké sněmovně Parlamentu ČR</w:t>
      </w:r>
      <w:r w:rsidR="00513572">
        <w:t xml:space="preserve"> a následně přidělena jednotlivým obcím příslušným krajským úřadem</w:t>
      </w:r>
      <w:r w:rsidR="002F296D">
        <w:t xml:space="preserve">. Vzhledem k tomu, že v době </w:t>
      </w:r>
      <w:r w:rsidR="0059448D">
        <w:t>zpracování podkladů pro finanční vztah rozpočtu města k rozpočtům městských obvodů</w:t>
      </w:r>
      <w:r w:rsidR="002F296D">
        <w:t xml:space="preserve"> nebyl ještě znám </w:t>
      </w:r>
      <w:r w:rsidR="00F21502">
        <w:t>výsledek</w:t>
      </w:r>
      <w:r w:rsidR="002F296D">
        <w:t xml:space="preserve"> 1. čtení zákona o státním rozpočtu</w:t>
      </w:r>
      <w:r w:rsidR="00F21502">
        <w:t xml:space="preserve"> a skutečná výše dotace po přerozdělení </w:t>
      </w:r>
      <w:r w:rsidR="001B040F">
        <w:t>K</w:t>
      </w:r>
      <w:r w:rsidR="00F21502">
        <w:t>rajským úřadem</w:t>
      </w:r>
      <w:r w:rsidR="001B040F">
        <w:t xml:space="preserve"> Plzeňského kraje</w:t>
      </w:r>
      <w:r w:rsidR="002F296D">
        <w:t xml:space="preserve">, je tato dotace zapracována </w:t>
      </w:r>
      <w:r w:rsidR="006F194D">
        <w:t xml:space="preserve">dle </w:t>
      </w:r>
      <w:r w:rsidR="00744CA6">
        <w:t xml:space="preserve">zveřejněných podkladů </w:t>
      </w:r>
      <w:r w:rsidR="006F194D">
        <w:t>náv</w:t>
      </w:r>
      <w:r w:rsidR="00B03438">
        <w:t xml:space="preserve">rhu </w:t>
      </w:r>
      <w:r w:rsidR="00C66426">
        <w:t>z</w:t>
      </w:r>
      <w:r w:rsidR="00B03438">
        <w:t>ákona o státním rozpočtu</w:t>
      </w:r>
      <w:r w:rsidR="00C66426">
        <w:t xml:space="preserve"> na rok 201</w:t>
      </w:r>
      <w:r w:rsidR="00F54142">
        <w:t>8</w:t>
      </w:r>
      <w:r w:rsidR="00B03438">
        <w:t>.</w:t>
      </w:r>
      <w:r w:rsidRPr="00586025">
        <w:t xml:space="preserve"> </w:t>
      </w:r>
      <w:r>
        <w:t>Navrhovaná výše souhrnného dotačního vztahu může být v návaznosti na schvalovací proces státního rozpočtu ještě upřesněna.</w:t>
      </w:r>
    </w:p>
    <w:p w:rsidR="00B03438" w:rsidRPr="00490C91" w:rsidRDefault="00B03438" w:rsidP="00B03438">
      <w:pPr>
        <w:jc w:val="both"/>
      </w:pPr>
      <w:r w:rsidRPr="00490C91">
        <w:t xml:space="preserve">Souhrnný dotační vztah </w:t>
      </w:r>
      <w:r>
        <w:t>v roce 201</w:t>
      </w:r>
      <w:r w:rsidR="00F54142">
        <w:t>8</w:t>
      </w:r>
      <w:r>
        <w:t xml:space="preserve"> </w:t>
      </w:r>
      <w:r w:rsidRPr="00490C91">
        <w:t>tvoří:</w:t>
      </w:r>
    </w:p>
    <w:p w:rsidR="00B03438" w:rsidRPr="00CD2521" w:rsidRDefault="00B03438" w:rsidP="00B03438">
      <w:pPr>
        <w:numPr>
          <w:ilvl w:val="0"/>
          <w:numId w:val="14"/>
        </w:numPr>
        <w:jc w:val="both"/>
      </w:pPr>
      <w:r w:rsidRPr="00CD2521">
        <w:t xml:space="preserve">dotace na vybraná zdravotnická zařízení (Dětské centrum Plzeň), </w:t>
      </w:r>
      <w:r w:rsidRPr="00B03438">
        <w:t>přičemž dotace ne</w:t>
      </w:r>
      <w:r>
        <w:t>ní</w:t>
      </w:r>
      <w:r w:rsidRPr="00B03438">
        <w:t xml:space="preserve"> ani pro rok 201</w:t>
      </w:r>
      <w:r w:rsidR="00F54142">
        <w:t>8</w:t>
      </w:r>
      <w:r w:rsidRPr="00B03438">
        <w:t xml:space="preserve"> valorizována</w:t>
      </w:r>
      <w:r w:rsidRPr="00CD2521">
        <w:t xml:space="preserve"> (</w:t>
      </w:r>
      <w:r w:rsidR="0059448D">
        <w:t>8 376</w:t>
      </w:r>
      <w:r w:rsidRPr="00CD2521">
        <w:t xml:space="preserve"> tis. Kč)</w:t>
      </w:r>
    </w:p>
    <w:p w:rsidR="00B03438" w:rsidRDefault="00B03438" w:rsidP="00B03438">
      <w:pPr>
        <w:numPr>
          <w:ilvl w:val="0"/>
          <w:numId w:val="14"/>
        </w:numPr>
        <w:jc w:val="both"/>
      </w:pPr>
      <w:r>
        <w:t>p</w:t>
      </w:r>
      <w:r w:rsidRPr="00490C91">
        <w:t>říspěvek na částečnou úhradu výdajů spojených s výkonem státní správy</w:t>
      </w:r>
      <w:r w:rsidR="00586025">
        <w:t>, dále jen příspěvek na výkon státní správy</w:t>
      </w:r>
      <w:r w:rsidR="0059448D">
        <w:t xml:space="preserve"> nebo VSS (125 908 </w:t>
      </w:r>
      <w:r>
        <w:t>tis. Kč)</w:t>
      </w:r>
    </w:p>
    <w:p w:rsidR="00586025" w:rsidRDefault="00586025" w:rsidP="00230113">
      <w:pPr>
        <w:jc w:val="both"/>
        <w:rPr>
          <w:b/>
        </w:rPr>
      </w:pPr>
    </w:p>
    <w:p w:rsidR="00586025" w:rsidRPr="00D33910" w:rsidRDefault="00586025" w:rsidP="00230113">
      <w:pPr>
        <w:jc w:val="both"/>
        <w:rPr>
          <w:u w:val="single"/>
        </w:rPr>
      </w:pPr>
      <w:r w:rsidRPr="00D33910">
        <w:rPr>
          <w:u w:val="single"/>
        </w:rPr>
        <w:t>Příspěvek na výkon státní správy</w:t>
      </w:r>
    </w:p>
    <w:p w:rsidR="005F434C" w:rsidRDefault="00F54142" w:rsidP="005F434C">
      <w:pPr>
        <w:jc w:val="both"/>
      </w:pPr>
      <w:r>
        <w:t>Ve srovnání s rokem 2017</w:t>
      </w:r>
      <w:r w:rsidR="005F434C">
        <w:t xml:space="preserve"> byla část příspěvku na výkon státní správy poskytovaná obcím a obcím s rozšířenou působností valorizována v celostátním úhrnu o 5% se zohledněním meziroční změny počtu obyvatel,</w:t>
      </w:r>
      <w:r>
        <w:t xml:space="preserve"> kdy</w:t>
      </w:r>
      <w:r w:rsidR="005F434C">
        <w:t xml:space="preserve"> část příspěvku poskytovaná obcím s rozšířenou působností se zvl. postavením zůstala bez</w:t>
      </w:r>
      <w:r>
        <w:t xml:space="preserve"> </w:t>
      </w:r>
      <w:r w:rsidR="005F434C">
        <w:t>meziročních změn</w:t>
      </w:r>
      <w:r w:rsidR="0059448D">
        <w:t>.</w:t>
      </w:r>
      <w:r>
        <w:t xml:space="preserve"> </w:t>
      </w:r>
      <w:r w:rsidR="0059448D">
        <w:t>B</w:t>
      </w:r>
      <w:r>
        <w:t xml:space="preserve">ez významné meziroční změny zůstává i </w:t>
      </w:r>
      <w:r w:rsidR="005F434C">
        <w:t>financování veřejného opatrovnictví</w:t>
      </w:r>
      <w:r>
        <w:t xml:space="preserve"> zahrnuté do příspěvku na VSS </w:t>
      </w:r>
      <w:r w:rsidR="00DD4E30">
        <w:t xml:space="preserve">poprvé </w:t>
      </w:r>
      <w:r>
        <w:lastRenderedPageBreak/>
        <w:t>v r</w:t>
      </w:r>
      <w:r w:rsidR="0059448D">
        <w:t>oce</w:t>
      </w:r>
      <w:r>
        <w:t xml:space="preserve"> 2017</w:t>
      </w:r>
      <w:r w:rsidR="005F434C">
        <w:t>.</w:t>
      </w:r>
      <w:r>
        <w:t xml:space="preserve"> </w:t>
      </w:r>
      <w:r w:rsidR="00DD4E30">
        <w:t>Meziroční nárůst agend poskytovaných i</w:t>
      </w:r>
      <w:r w:rsidR="0059448D">
        <w:t xml:space="preserve"> v roce 2017 činí pro Plzeň cca</w:t>
      </w:r>
      <w:r w:rsidR="0059448D">
        <w:br/>
        <w:t xml:space="preserve">(+) </w:t>
      </w:r>
      <w:r w:rsidR="00DD4E30">
        <w:t xml:space="preserve">2,4%. Tento % nárůst je východiskem pro stanovení příspěvku na VSS pro jednotlivé </w:t>
      </w:r>
      <w:r w:rsidR="0059448D">
        <w:t>městské obvody</w:t>
      </w:r>
      <w:r w:rsidR="00DD4E30">
        <w:t>. Od roku 2018 je dále součástí příspěvku na VSS</w:t>
      </w:r>
      <w:r w:rsidR="005F434C">
        <w:t xml:space="preserve"> </w:t>
      </w:r>
      <w:r w:rsidR="00DD4E30">
        <w:t xml:space="preserve">také agenda občanských průkazů a jednotných kontaktních míst. Tyto agendy </w:t>
      </w:r>
      <w:r w:rsidR="0059448D">
        <w:t>městské obvody</w:t>
      </w:r>
      <w:r w:rsidR="00DD4E30">
        <w:t xml:space="preserve"> nevykonávají, příjemcem příspěvku je tedy pouze rozpočet MMP.</w:t>
      </w:r>
    </w:p>
    <w:p w:rsidR="00346C94" w:rsidRDefault="00346C94" w:rsidP="00230113">
      <w:pPr>
        <w:jc w:val="both"/>
      </w:pPr>
    </w:p>
    <w:p w:rsidR="006F194D" w:rsidRDefault="006F194D" w:rsidP="006F194D">
      <w:pPr>
        <w:ind w:left="720"/>
        <w:jc w:val="both"/>
      </w:pPr>
    </w:p>
    <w:tbl>
      <w:tblPr>
        <w:tblW w:w="6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1247"/>
        <w:gridCol w:w="1247"/>
        <w:gridCol w:w="1247"/>
      </w:tblGrid>
      <w:tr w:rsidR="009C476B" w:rsidTr="00E72005">
        <w:trPr>
          <w:trHeight w:val="761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7C5" w:rsidRPr="0092251A" w:rsidRDefault="00C417C5" w:rsidP="006A284B">
            <w:pPr>
              <w:pStyle w:val="Nadpis6"/>
              <w:rPr>
                <w:rFonts w:eastAsia="Arial Unicode MS" w:cs="Arial"/>
                <w:sz w:val="20"/>
                <w:lang w:val="cs-CZ" w:eastAsia="cs-CZ"/>
              </w:rPr>
            </w:pPr>
          </w:p>
          <w:p w:rsidR="006A284B" w:rsidRPr="0092251A" w:rsidRDefault="00346C94" w:rsidP="006A284B">
            <w:pPr>
              <w:pStyle w:val="Nadpis6"/>
              <w:rPr>
                <w:rFonts w:eastAsia="Arial Unicode MS" w:cs="Arial"/>
                <w:sz w:val="20"/>
                <w:lang w:val="cs-CZ" w:eastAsia="cs-CZ"/>
              </w:rPr>
            </w:pPr>
            <w:r w:rsidRPr="0092251A">
              <w:rPr>
                <w:rFonts w:eastAsia="Arial Unicode MS" w:cs="Arial"/>
                <w:sz w:val="20"/>
                <w:lang w:val="cs-CZ" w:eastAsia="cs-CZ"/>
              </w:rPr>
              <w:t>Souhrnný dotační vztah – návrh 201</w:t>
            </w:r>
            <w:r w:rsidR="00DD4E30">
              <w:rPr>
                <w:rFonts w:eastAsia="Arial Unicode MS" w:cs="Arial"/>
                <w:sz w:val="20"/>
                <w:lang w:val="cs-CZ" w:eastAsia="cs-CZ"/>
              </w:rPr>
              <w:t>8</w:t>
            </w:r>
          </w:p>
          <w:p w:rsidR="006A284B" w:rsidRPr="0092251A" w:rsidRDefault="006A284B" w:rsidP="006A284B">
            <w:pPr>
              <w:pStyle w:val="Nadpis6"/>
              <w:rPr>
                <w:rFonts w:eastAsia="Arial Unicode MS" w:cs="Arial"/>
                <w:sz w:val="20"/>
                <w:lang w:val="cs-CZ" w:eastAsia="cs-CZ"/>
              </w:rPr>
            </w:pPr>
          </w:p>
          <w:p w:rsidR="00346C94" w:rsidRPr="0092251A" w:rsidRDefault="0059448D" w:rsidP="0059448D">
            <w:pPr>
              <w:pStyle w:val="Nadpis6"/>
              <w:rPr>
                <w:rFonts w:eastAsia="Arial Unicode MS" w:cs="Arial"/>
                <w:sz w:val="20"/>
                <w:lang w:val="cs-CZ" w:eastAsia="cs-CZ"/>
              </w:rPr>
            </w:pPr>
            <w:r>
              <w:rPr>
                <w:rFonts w:eastAsia="Arial Unicode MS" w:cs="Arial"/>
                <w:b w:val="0"/>
                <w:sz w:val="20"/>
                <w:lang w:val="cs-CZ" w:eastAsia="cs-CZ"/>
              </w:rPr>
              <w:t>v</w:t>
            </w:r>
            <w:r w:rsidR="00346C94" w:rsidRPr="0092251A">
              <w:rPr>
                <w:rFonts w:eastAsia="Arial Unicode MS" w:cs="Arial"/>
                <w:b w:val="0"/>
                <w:sz w:val="20"/>
                <w:lang w:val="cs-CZ" w:eastAsia="cs-CZ"/>
              </w:rPr>
              <w:t xml:space="preserve"> tis. Kč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C94" w:rsidRPr="00A362E1" w:rsidRDefault="00346C94" w:rsidP="00815E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C94" w:rsidRPr="00A362E1" w:rsidRDefault="00346C94" w:rsidP="00815E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MMP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C94" w:rsidRPr="00A362E1" w:rsidRDefault="00346C94" w:rsidP="00815E6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362E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MO</w:t>
            </w:r>
          </w:p>
        </w:tc>
      </w:tr>
      <w:tr w:rsidR="009C476B" w:rsidTr="00E72005">
        <w:trPr>
          <w:trHeight w:val="259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94" w:rsidRPr="00A362E1" w:rsidRDefault="00346C94" w:rsidP="00815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2E1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FB09C7" w:rsidP="005D48A4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134</w:t>
            </w:r>
            <w:r w:rsidR="0059448D">
              <w:rPr>
                <w:rFonts w:ascii="Arial" w:eastAsia="Arial Unicode MS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28</w:t>
            </w:r>
            <w:r w:rsidR="0059448D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FB09C7" w:rsidP="0059448D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94 12</w:t>
            </w:r>
            <w:r w:rsidR="0059448D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FB09C7" w:rsidP="00D977D2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40 164</w:t>
            </w:r>
          </w:p>
        </w:tc>
      </w:tr>
      <w:tr w:rsidR="009C476B" w:rsidTr="00E72005">
        <w:trPr>
          <w:trHeight w:val="259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94" w:rsidRPr="00A362E1" w:rsidRDefault="00346C94" w:rsidP="00815E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362E1">
              <w:rPr>
                <w:rFonts w:ascii="Arial" w:hAnsi="Arial" w:cs="Arial"/>
                <w:sz w:val="20"/>
                <w:szCs w:val="20"/>
              </w:rPr>
              <w:t>Příspěvek na výkon státní správy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DD4E30" w:rsidP="00DD4E3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125 908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FB09C7" w:rsidP="00D977D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85 744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FB09C7" w:rsidP="00D977D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40 164</w:t>
            </w:r>
          </w:p>
        </w:tc>
      </w:tr>
      <w:tr w:rsidR="009C476B" w:rsidTr="00E72005">
        <w:trPr>
          <w:trHeight w:val="259"/>
        </w:trPr>
        <w:tc>
          <w:tcPr>
            <w:tcW w:w="3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94" w:rsidRPr="00A362E1" w:rsidRDefault="00346C94" w:rsidP="00946CC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362E1">
              <w:rPr>
                <w:rFonts w:ascii="Arial" w:hAnsi="Arial" w:cs="Arial"/>
                <w:sz w:val="20"/>
                <w:szCs w:val="20"/>
              </w:rPr>
              <w:t>Dotace na vybr</w:t>
            </w:r>
            <w:r w:rsidR="00946CCA">
              <w:rPr>
                <w:rFonts w:ascii="Arial" w:hAnsi="Arial" w:cs="Arial"/>
                <w:sz w:val="20"/>
                <w:szCs w:val="20"/>
              </w:rPr>
              <w:t>aná</w:t>
            </w:r>
            <w:r w:rsidRPr="00A362E1">
              <w:rPr>
                <w:rFonts w:ascii="Arial" w:hAnsi="Arial" w:cs="Arial"/>
                <w:sz w:val="20"/>
                <w:szCs w:val="20"/>
              </w:rPr>
              <w:t xml:space="preserve"> zdravotnická zařízení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FB09C7" w:rsidP="00864A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8 376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FB09C7" w:rsidP="00864A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8 376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346C94" w:rsidRPr="00A362E1" w:rsidRDefault="00346C94" w:rsidP="009C476B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860673" w:rsidRDefault="00860673" w:rsidP="00031D28">
      <w:pPr>
        <w:pStyle w:val="vlevo"/>
      </w:pPr>
    </w:p>
    <w:p w:rsidR="00FF328A" w:rsidRDefault="00FF328A" w:rsidP="00CD2521">
      <w:pPr>
        <w:jc w:val="both"/>
      </w:pPr>
      <w:r>
        <w:t>V</w:t>
      </w:r>
      <w:r w:rsidR="00EF57C1">
        <w:t xml:space="preserve">e výhledových </w:t>
      </w:r>
      <w:r>
        <w:t>letech 201</w:t>
      </w:r>
      <w:r w:rsidR="00F54142">
        <w:t>9 – 2021</w:t>
      </w:r>
      <w:r>
        <w:t xml:space="preserve"> je zapracován souhrnný do</w:t>
      </w:r>
      <w:r w:rsidR="00CD2521">
        <w:t xml:space="preserve">tační vztah ve stejné výši jako </w:t>
      </w:r>
      <w:r>
        <w:t>v roce 201</w:t>
      </w:r>
      <w:r w:rsidR="00F54142">
        <w:t>8</w:t>
      </w:r>
      <w:r>
        <w:t>, tj. bez předpokladu významného navyšování</w:t>
      </w:r>
      <w:r w:rsidR="004538DC">
        <w:t xml:space="preserve"> a změn</w:t>
      </w:r>
      <w:r>
        <w:t>.</w:t>
      </w:r>
    </w:p>
    <w:p w:rsidR="004538DC" w:rsidRDefault="004538DC" w:rsidP="00CD2521">
      <w:pPr>
        <w:jc w:val="both"/>
      </w:pPr>
    </w:p>
    <w:p w:rsidR="00FF328A" w:rsidRPr="00FF328A" w:rsidRDefault="00FF328A" w:rsidP="00031D28">
      <w:pPr>
        <w:pStyle w:val="vlevo"/>
      </w:pPr>
    </w:p>
    <w:p w:rsidR="005D6F82" w:rsidRPr="00ED712F" w:rsidRDefault="00094653" w:rsidP="00EF57C1">
      <w:pPr>
        <w:pStyle w:val="ostzahl"/>
        <w:numPr>
          <w:ilvl w:val="0"/>
          <w:numId w:val="0"/>
        </w:numPr>
        <w:spacing w:before="0"/>
        <w:jc w:val="both"/>
        <w:rPr>
          <w:spacing w:val="0"/>
        </w:rPr>
      </w:pPr>
      <w:r>
        <w:rPr>
          <w:spacing w:val="0"/>
        </w:rPr>
        <w:t>2.</w:t>
      </w:r>
      <w:r w:rsidR="00B613A1">
        <w:rPr>
          <w:spacing w:val="0"/>
        </w:rPr>
        <w:t>3.</w:t>
      </w:r>
      <w:r>
        <w:rPr>
          <w:spacing w:val="0"/>
        </w:rPr>
        <w:t xml:space="preserve"> </w:t>
      </w:r>
      <w:r w:rsidR="00B613A1">
        <w:rPr>
          <w:spacing w:val="0"/>
        </w:rPr>
        <w:t>K</w:t>
      </w:r>
      <w:r>
        <w:rPr>
          <w:spacing w:val="0"/>
        </w:rPr>
        <w:t>ompenzace</w:t>
      </w:r>
      <w:r w:rsidR="00864AD0">
        <w:rPr>
          <w:spacing w:val="0"/>
        </w:rPr>
        <w:t xml:space="preserve"> podílu na příjmech z odvodu z loterií a jiných podobných her</w:t>
      </w:r>
    </w:p>
    <w:p w:rsidR="007C1E73" w:rsidRDefault="005D48A4" w:rsidP="007C1E73">
      <w:pPr>
        <w:jc w:val="both"/>
      </w:pPr>
      <w:r>
        <w:t>V</w:t>
      </w:r>
      <w:r w:rsidR="007C1E73">
        <w:t xml:space="preserve">ýše  kompenzace příjmů z loterií a jiných podobných her </w:t>
      </w:r>
      <w:r w:rsidR="00B613A1">
        <w:t xml:space="preserve">pro MO </w:t>
      </w:r>
      <w:r>
        <w:t xml:space="preserve">je stanovena v návaznosti na poslední schválený finanční vztah a jeho </w:t>
      </w:r>
      <w:r w:rsidR="00F42772">
        <w:t xml:space="preserve">střednědobý </w:t>
      </w:r>
      <w:r>
        <w:t>výh</w:t>
      </w:r>
      <w:r w:rsidR="00F42772">
        <w:t>led rozpočtu. I nadále je tedy za účasti</w:t>
      </w:r>
      <w:r w:rsidR="005C5613">
        <w:t xml:space="preserve"> </w:t>
      </w:r>
      <w:r>
        <w:t>MO</w:t>
      </w:r>
      <w:r w:rsidR="00F42772">
        <w:t xml:space="preserve"> </w:t>
      </w:r>
      <w:r>
        <w:t xml:space="preserve">1 - </w:t>
      </w:r>
      <w:r w:rsidR="007C1E73">
        <w:t xml:space="preserve">MO 4 </w:t>
      </w:r>
      <w:r>
        <w:t xml:space="preserve">tvořena rezerva </w:t>
      </w:r>
      <w:r w:rsidR="007C1E73">
        <w:t xml:space="preserve">FRR MP na podporu sportu v městě Plzni  s předpokladem využití na </w:t>
      </w:r>
      <w:r w:rsidR="00EC5ED8">
        <w:t>obnovu majetku</w:t>
      </w:r>
      <w:r w:rsidR="002D310E">
        <w:t xml:space="preserve"> a realizaci investic</w:t>
      </w:r>
      <w:r w:rsidR="00EC5ED8">
        <w:t xml:space="preserve"> v</w:t>
      </w:r>
      <w:r w:rsidR="007C1E73">
        <w:t xml:space="preserve"> oblasti sportu</w:t>
      </w:r>
      <w:r>
        <w:t xml:space="preserve"> a tělovýchovy</w:t>
      </w:r>
      <w:r w:rsidR="007C1E73">
        <w:t>.</w:t>
      </w:r>
      <w:r w:rsidR="00EA70C1">
        <w:t xml:space="preserve"> </w:t>
      </w:r>
      <w:r w:rsidR="007C1E73">
        <w:t xml:space="preserve"> </w:t>
      </w:r>
    </w:p>
    <w:p w:rsidR="007C1E73" w:rsidRDefault="007C1E73" w:rsidP="00E72005">
      <w:pPr>
        <w:jc w:val="both"/>
      </w:pPr>
    </w:p>
    <w:tbl>
      <w:tblPr>
        <w:tblW w:w="9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3"/>
        <w:gridCol w:w="1247"/>
        <w:gridCol w:w="1247"/>
        <w:gridCol w:w="1247"/>
        <w:gridCol w:w="1247"/>
        <w:gridCol w:w="1247"/>
      </w:tblGrid>
      <w:tr w:rsidR="00610120" w:rsidTr="00610120">
        <w:trPr>
          <w:trHeight w:val="259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120" w:rsidRPr="005D48A4" w:rsidRDefault="005D48A4" w:rsidP="00115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D48A4">
              <w:rPr>
                <w:rFonts w:ascii="Arial" w:hAnsi="Arial" w:cs="Arial"/>
                <w:sz w:val="20"/>
                <w:szCs w:val="20"/>
              </w:rPr>
              <w:t> tis. Kč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D037F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 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D037F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 2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D037F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 3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10120" w:rsidRDefault="00610120" w:rsidP="00D037F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 4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10120" w:rsidRDefault="00610120" w:rsidP="00D037F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Celkem</w:t>
            </w:r>
          </w:p>
        </w:tc>
      </w:tr>
      <w:tr w:rsidR="00610120" w:rsidTr="00F42772">
        <w:trPr>
          <w:trHeight w:val="259"/>
        </w:trPr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120" w:rsidRPr="00A362E1" w:rsidRDefault="00610120" w:rsidP="001152B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Kompenzace podílu na příjmech z odvodu z</w:t>
            </w:r>
            <w:r w:rsidR="005D48A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loterií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1152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18 289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1152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14 386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1152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23 931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right w:w="85" w:type="dxa"/>
            </w:tcMar>
            <w:vAlign w:val="center"/>
          </w:tcPr>
          <w:p w:rsidR="00610120" w:rsidRDefault="00610120" w:rsidP="00F4277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 w:rsidR="00F42772">
              <w:rPr>
                <w:rFonts w:ascii="Arial" w:eastAsia="Arial Unicode MS" w:hAnsi="Arial" w:cs="Arial"/>
                <w:sz w:val="20"/>
                <w:szCs w:val="20"/>
              </w:rPr>
              <w:t xml:space="preserve"> 756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right w:w="85" w:type="dxa"/>
            </w:tcMar>
            <w:vAlign w:val="center"/>
          </w:tcPr>
          <w:p w:rsidR="00610120" w:rsidRDefault="00610120" w:rsidP="00F4277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66 362</w:t>
            </w:r>
          </w:p>
        </w:tc>
      </w:tr>
      <w:tr w:rsidR="00610120" w:rsidTr="00F42772">
        <w:trPr>
          <w:trHeight w:val="259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120" w:rsidRPr="00A362E1" w:rsidRDefault="00610120" w:rsidP="0061012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Kompenzace podílu na příjmech z odvodu z loterií (-) 10 %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61012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16 460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1152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12 947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1152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21 538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right w:w="85" w:type="dxa"/>
            </w:tcMar>
            <w:vAlign w:val="center"/>
          </w:tcPr>
          <w:p w:rsidR="00610120" w:rsidRPr="00A362E1" w:rsidRDefault="00610120" w:rsidP="00F4277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8 780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right w:w="85" w:type="dxa"/>
            </w:tcMar>
            <w:vAlign w:val="center"/>
          </w:tcPr>
          <w:p w:rsidR="00610120" w:rsidRDefault="00610120" w:rsidP="00F4277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59 725</w:t>
            </w:r>
          </w:p>
        </w:tc>
      </w:tr>
      <w:tr w:rsidR="00610120" w:rsidTr="00F42772">
        <w:trPr>
          <w:trHeight w:val="259"/>
        </w:trPr>
        <w:tc>
          <w:tcPr>
            <w:tcW w:w="3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120" w:rsidRPr="00A362E1" w:rsidRDefault="00610120" w:rsidP="00115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Rozdíl (tvorba rezervy FRR MP)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Default="00610120" w:rsidP="0061012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1 829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Default="00610120" w:rsidP="001152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1 439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610120" w:rsidRPr="00A362E1" w:rsidRDefault="00610120" w:rsidP="001152B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2 393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right w:w="85" w:type="dxa"/>
            </w:tcMar>
          </w:tcPr>
          <w:p w:rsidR="00610120" w:rsidRPr="00A362E1" w:rsidRDefault="00610120" w:rsidP="00F4277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7" w:type="dxa"/>
              <w:left w:w="17" w:type="dxa"/>
              <w:right w:w="85" w:type="dxa"/>
            </w:tcMar>
            <w:vAlign w:val="center"/>
          </w:tcPr>
          <w:p w:rsidR="00610120" w:rsidRDefault="00C94FD3" w:rsidP="00F42772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="00610120">
              <w:rPr>
                <w:rFonts w:ascii="Arial" w:eastAsia="Arial Unicode MS" w:hAnsi="Arial" w:cs="Arial"/>
                <w:sz w:val="20"/>
                <w:szCs w:val="20"/>
              </w:rPr>
              <w:t>6 637</w:t>
            </w:r>
          </w:p>
        </w:tc>
      </w:tr>
    </w:tbl>
    <w:p w:rsidR="00410CD7" w:rsidRDefault="00410CD7" w:rsidP="00587314">
      <w:pPr>
        <w:jc w:val="both"/>
      </w:pPr>
    </w:p>
    <w:p w:rsidR="00975D27" w:rsidRDefault="00975D27" w:rsidP="00975D27">
      <w:pPr>
        <w:ind w:left="720"/>
        <w:jc w:val="both"/>
      </w:pPr>
    </w:p>
    <w:p w:rsidR="00D415BB" w:rsidRDefault="00D415BB">
      <w:pPr>
        <w:pStyle w:val="ostzahl"/>
      </w:pPr>
      <w:r>
        <w:t>Předpokládaný cílový stav</w:t>
      </w:r>
    </w:p>
    <w:p w:rsidR="00E97AEC" w:rsidRDefault="00D415BB" w:rsidP="00031D28">
      <w:pPr>
        <w:pStyle w:val="vlevo"/>
      </w:pPr>
      <w:r w:rsidRPr="00410CD7">
        <w:t>Přijetí návrhu usnesení dle bodu II jako východiska pro další fáze rozpočtového procesu.</w:t>
      </w:r>
    </w:p>
    <w:p w:rsidR="009F098F" w:rsidRPr="00410CD7" w:rsidRDefault="009F098F" w:rsidP="00031D28">
      <w:pPr>
        <w:pStyle w:val="vlevo"/>
      </w:pPr>
    </w:p>
    <w:p w:rsidR="00D415BB" w:rsidRDefault="00D415BB">
      <w:pPr>
        <w:pStyle w:val="ostzahl"/>
      </w:pPr>
      <w:r>
        <w:t>Navrhované varianty řešení</w:t>
      </w:r>
    </w:p>
    <w:p w:rsidR="00797F5B" w:rsidRDefault="00E73DAB" w:rsidP="00797F5B">
      <w:pPr>
        <w:pStyle w:val="ostzahl"/>
        <w:numPr>
          <w:ilvl w:val="0"/>
          <w:numId w:val="0"/>
        </w:numPr>
        <w:rPr>
          <w:b w:val="0"/>
          <w:spacing w:val="0"/>
        </w:rPr>
      </w:pPr>
      <w:r>
        <w:rPr>
          <w:b w:val="0"/>
          <w:spacing w:val="0"/>
        </w:rPr>
        <w:t>Dle bodu II návrhu usnesení</w:t>
      </w:r>
      <w:r w:rsidR="00797F5B" w:rsidRPr="00797F5B">
        <w:rPr>
          <w:b w:val="0"/>
          <w:spacing w:val="0"/>
        </w:rPr>
        <w:t>.</w:t>
      </w:r>
    </w:p>
    <w:p w:rsidR="009F098F" w:rsidRPr="009F098F" w:rsidRDefault="009F098F" w:rsidP="00031D28">
      <w:pPr>
        <w:pStyle w:val="vlevo"/>
      </w:pPr>
    </w:p>
    <w:p w:rsidR="00D415BB" w:rsidRDefault="00D415BB" w:rsidP="00797F5B">
      <w:pPr>
        <w:pStyle w:val="ostzahl"/>
      </w:pPr>
      <w:r>
        <w:t>Doporučená varianta řešení</w:t>
      </w:r>
    </w:p>
    <w:p w:rsidR="00E56D12" w:rsidRDefault="008D0F03" w:rsidP="00031D28">
      <w:pPr>
        <w:pStyle w:val="vlevo"/>
      </w:pPr>
      <w:r>
        <w:t>Navrhovaná varianta řešení je jediná</w:t>
      </w:r>
      <w:r w:rsidR="00CD69C8">
        <w:t>.</w:t>
      </w:r>
    </w:p>
    <w:p w:rsidR="009F098F" w:rsidRDefault="009F098F" w:rsidP="00031D28">
      <w:pPr>
        <w:pStyle w:val="vlevo"/>
      </w:pPr>
    </w:p>
    <w:p w:rsidR="00D415BB" w:rsidRDefault="00D415BB">
      <w:pPr>
        <w:pStyle w:val="ostzahl"/>
      </w:pPr>
      <w:r>
        <w:t>Finanční nároky řešení a možnosti finančního krytí</w:t>
      </w:r>
    </w:p>
    <w:p w:rsidR="00D415BB" w:rsidRDefault="00D415BB" w:rsidP="00031D28">
      <w:pPr>
        <w:pStyle w:val="vlevo"/>
      </w:pPr>
      <w:r>
        <w:t>Nejsou.</w:t>
      </w:r>
    </w:p>
    <w:p w:rsidR="009F098F" w:rsidRDefault="009F098F" w:rsidP="00031D28">
      <w:pPr>
        <w:pStyle w:val="vlevo"/>
      </w:pPr>
    </w:p>
    <w:p w:rsidR="00D415BB" w:rsidRDefault="00D415BB">
      <w:pPr>
        <w:pStyle w:val="ostzahl"/>
      </w:pPr>
      <w:r>
        <w:t>Návrh termínů realizace a určení zodpovědných pracovníků</w:t>
      </w:r>
    </w:p>
    <w:p w:rsidR="00D415BB" w:rsidRDefault="00D415BB" w:rsidP="00031D28">
      <w:pPr>
        <w:pStyle w:val="vlevo"/>
      </w:pPr>
      <w:r>
        <w:t>Dle bodu I</w:t>
      </w:r>
      <w:r w:rsidR="005C5613">
        <w:t>II</w:t>
      </w:r>
      <w:bookmarkStart w:id="0" w:name="_GoBack"/>
      <w:bookmarkEnd w:id="0"/>
      <w:r>
        <w:t xml:space="preserve"> návrhu usnesení.</w:t>
      </w:r>
    </w:p>
    <w:p w:rsidR="009F098F" w:rsidRDefault="009F098F" w:rsidP="00031D28">
      <w:pPr>
        <w:pStyle w:val="vlevo"/>
      </w:pPr>
    </w:p>
    <w:p w:rsidR="00D415BB" w:rsidRDefault="00D415BB">
      <w:pPr>
        <w:pStyle w:val="ostzahl"/>
      </w:pPr>
      <w:r>
        <w:t>Dříve přijatá usnesení orgánů města nebo městských obvodů, která s tímto návrhem souvisejí</w:t>
      </w:r>
    </w:p>
    <w:p w:rsidR="00B20A53" w:rsidRDefault="00576B0F" w:rsidP="00031D28">
      <w:pPr>
        <w:pStyle w:val="vlevo"/>
      </w:pPr>
      <w:r>
        <w:t xml:space="preserve">Usnesení RMP č. 707 ze dne </w:t>
      </w:r>
      <w:proofErr w:type="gramStart"/>
      <w:r>
        <w:t>29.6.2017</w:t>
      </w:r>
      <w:proofErr w:type="gramEnd"/>
    </w:p>
    <w:p w:rsidR="00576B0F" w:rsidRDefault="00576B0F" w:rsidP="00031D28">
      <w:pPr>
        <w:pStyle w:val="vlevo"/>
      </w:pPr>
      <w:r>
        <w:t xml:space="preserve">Usnesení ZMP č. 20 ze dne </w:t>
      </w:r>
      <w:proofErr w:type="gramStart"/>
      <w:r>
        <w:t>20.2.2017</w:t>
      </w:r>
      <w:proofErr w:type="gramEnd"/>
    </w:p>
    <w:p w:rsidR="00031D28" w:rsidRDefault="00031D28" w:rsidP="00031D28">
      <w:pPr>
        <w:pStyle w:val="vlevo"/>
      </w:pPr>
      <w:r>
        <w:t xml:space="preserve">Usnesení ZMP č. 295 ze dne </w:t>
      </w:r>
      <w:proofErr w:type="gramStart"/>
      <w:r>
        <w:t>12.6.2014</w:t>
      </w:r>
      <w:proofErr w:type="gramEnd"/>
    </w:p>
    <w:p w:rsidR="00B03438" w:rsidRPr="00815E69" w:rsidRDefault="00B03438" w:rsidP="00031D28">
      <w:pPr>
        <w:pStyle w:val="vlevo"/>
      </w:pPr>
    </w:p>
    <w:p w:rsidR="00D415BB" w:rsidRDefault="00D415BB">
      <w:pPr>
        <w:pStyle w:val="ostzahl"/>
      </w:pPr>
      <w:r>
        <w:t>Závazky či pohledávky vůči městu</w:t>
      </w:r>
    </w:p>
    <w:p w:rsidR="005849F3" w:rsidRDefault="00D415BB" w:rsidP="00031D28">
      <w:pPr>
        <w:pStyle w:val="vlevo"/>
      </w:pPr>
      <w:r>
        <w:t>Nešetří se.</w:t>
      </w:r>
    </w:p>
    <w:p w:rsidR="00A87757" w:rsidRDefault="00A87757" w:rsidP="00031D28">
      <w:pPr>
        <w:pStyle w:val="vlevo"/>
      </w:pPr>
    </w:p>
    <w:p w:rsidR="00D415BB" w:rsidRDefault="009F098F" w:rsidP="00E97AEC">
      <w:pPr>
        <w:pStyle w:val="ostzahl"/>
      </w:pPr>
      <w:r>
        <w:t>P</w:t>
      </w:r>
      <w:r w:rsidR="00E97AEC">
        <w:t>řílohy</w:t>
      </w:r>
    </w:p>
    <w:p w:rsidR="008D0F03" w:rsidRDefault="00576B0F" w:rsidP="00031D28">
      <w:pPr>
        <w:pStyle w:val="vlevo"/>
      </w:pPr>
      <w:r>
        <w:t xml:space="preserve">Příloha č. 1 </w:t>
      </w:r>
      <w:r>
        <w:tab/>
      </w:r>
      <w:r w:rsidR="00D415BB">
        <w:t>–</w:t>
      </w:r>
      <w:r>
        <w:tab/>
      </w:r>
      <w:r w:rsidR="00D415BB">
        <w:t xml:space="preserve">Finanční vztah rozpočtu města a městských obvodů na rok </w:t>
      </w:r>
      <w:r w:rsidR="00531249">
        <w:t>201</w:t>
      </w:r>
      <w:r w:rsidR="00FB09C7">
        <w:t>8</w:t>
      </w:r>
    </w:p>
    <w:p w:rsidR="00412ED9" w:rsidRDefault="009C6647" w:rsidP="00031D28">
      <w:pPr>
        <w:pStyle w:val="vlevo"/>
      </w:pPr>
      <w:r>
        <w:t>Příloha č. 2</w:t>
      </w:r>
      <w:r>
        <w:tab/>
        <w:t xml:space="preserve">– </w:t>
      </w:r>
      <w:r w:rsidR="00AF02B3">
        <w:tab/>
      </w:r>
      <w:r>
        <w:t>Finanční vztah rozpočtu města a městských obvodů v letech 201</w:t>
      </w:r>
      <w:r w:rsidR="00FB09C7">
        <w:t>9</w:t>
      </w:r>
      <w:r>
        <w:t xml:space="preserve"> – 20</w:t>
      </w:r>
      <w:r w:rsidR="006802B3">
        <w:t>2</w:t>
      </w:r>
      <w:r w:rsidR="00FB09C7">
        <w:t>1</w:t>
      </w:r>
      <w:r w:rsidR="008D0F03">
        <w:t xml:space="preserve"> </w:t>
      </w:r>
    </w:p>
    <w:p w:rsidR="00BB20A0" w:rsidRDefault="00B03438" w:rsidP="00031D28">
      <w:pPr>
        <w:pStyle w:val="vlevo"/>
      </w:pPr>
      <w:r>
        <w:t>Příloha č. 3</w:t>
      </w:r>
      <w:r>
        <w:tab/>
        <w:t>–</w:t>
      </w:r>
      <w:r>
        <w:tab/>
      </w:r>
      <w:r w:rsidR="006802B3">
        <w:t xml:space="preserve">Usnesení RMP č. </w:t>
      </w:r>
      <w:r w:rsidR="00BB20A0">
        <w:t xml:space="preserve"> </w:t>
      </w:r>
      <w:r w:rsidR="00031D28">
        <w:t xml:space="preserve">707 </w:t>
      </w:r>
      <w:r w:rsidR="00BB20A0">
        <w:t>ze dne</w:t>
      </w:r>
      <w:r w:rsidR="00031D28">
        <w:t xml:space="preserve"> </w:t>
      </w:r>
      <w:proofErr w:type="gramStart"/>
      <w:r w:rsidR="00031D28">
        <w:t>29.6.2017</w:t>
      </w:r>
      <w:proofErr w:type="gramEnd"/>
      <w:r w:rsidR="00BB20A0">
        <w:t xml:space="preserve"> </w:t>
      </w:r>
    </w:p>
    <w:p w:rsidR="007C1E73" w:rsidRDefault="00740338" w:rsidP="00031D28">
      <w:pPr>
        <w:pStyle w:val="vlevo"/>
      </w:pPr>
      <w:r w:rsidRPr="00154898">
        <w:t xml:space="preserve">Příloha č. </w:t>
      </w:r>
      <w:r w:rsidR="00BB20A0">
        <w:t>4</w:t>
      </w:r>
      <w:r w:rsidR="00B03438">
        <w:tab/>
        <w:t>–</w:t>
      </w:r>
      <w:r w:rsidR="00B03438">
        <w:tab/>
      </w:r>
      <w:r w:rsidRPr="00154898">
        <w:t>Zásady sestavení rozpočtu města</w:t>
      </w:r>
      <w:r>
        <w:t xml:space="preserve"> Plzně pro rok 201</w:t>
      </w:r>
      <w:r w:rsidR="00FB09C7">
        <w:t>8</w:t>
      </w:r>
      <w:r w:rsidR="00154898">
        <w:t xml:space="preserve"> včetně rozpočtového</w:t>
      </w:r>
      <w:r w:rsidR="00031D28">
        <w:br/>
        <w:t>v</w:t>
      </w:r>
      <w:r>
        <w:t>ýhledu 201</w:t>
      </w:r>
      <w:r w:rsidR="00FB09C7">
        <w:t>9</w:t>
      </w:r>
      <w:r>
        <w:t xml:space="preserve"> </w:t>
      </w:r>
      <w:r w:rsidR="002113AF">
        <w:t>–</w:t>
      </w:r>
      <w:r>
        <w:t xml:space="preserve"> 20</w:t>
      </w:r>
      <w:r w:rsidR="006802B3">
        <w:t>2</w:t>
      </w:r>
      <w:r w:rsidR="00FB09C7">
        <w:t>1</w:t>
      </w:r>
    </w:p>
    <w:p w:rsidR="00031D28" w:rsidRDefault="00031D28" w:rsidP="00031D28">
      <w:pPr>
        <w:pStyle w:val="vlevo"/>
      </w:pPr>
      <w:r>
        <w:t xml:space="preserve">Příloha č. </w:t>
      </w:r>
      <w:r w:rsidR="005D771E">
        <w:t>5</w:t>
      </w:r>
      <w:r w:rsidR="005D771E">
        <w:tab/>
        <w:t>–</w:t>
      </w:r>
      <w:r>
        <w:tab/>
        <w:t xml:space="preserve">Usnesení ZMP č. 20 ze dne </w:t>
      </w:r>
      <w:proofErr w:type="gramStart"/>
      <w:r>
        <w:t>20.2.2017</w:t>
      </w:r>
      <w:proofErr w:type="gramEnd"/>
    </w:p>
    <w:p w:rsidR="00031D28" w:rsidRDefault="00031D28" w:rsidP="00031D28">
      <w:pPr>
        <w:pStyle w:val="vlevo"/>
      </w:pPr>
      <w:r>
        <w:t xml:space="preserve">Příloha č. </w:t>
      </w:r>
      <w:r w:rsidR="005D771E">
        <w:t>6</w:t>
      </w:r>
      <w:r w:rsidR="005D771E">
        <w:tab/>
        <w:t>–</w:t>
      </w:r>
      <w:r>
        <w:tab/>
        <w:t xml:space="preserve">Usnesení ZMP č. 295 ze dne </w:t>
      </w:r>
      <w:proofErr w:type="gramStart"/>
      <w:r>
        <w:t>12.6.2014</w:t>
      </w:r>
      <w:proofErr w:type="gramEnd"/>
    </w:p>
    <w:p w:rsidR="008622E0" w:rsidRDefault="008622E0" w:rsidP="008622E0">
      <w:pPr>
        <w:pStyle w:val="vlevo"/>
      </w:pPr>
      <w:r>
        <w:t xml:space="preserve">Příloha č. </w:t>
      </w:r>
      <w:r w:rsidR="009E0F5F">
        <w:t>7</w:t>
      </w:r>
      <w:r>
        <w:tab/>
        <w:t xml:space="preserve">– </w:t>
      </w:r>
      <w:r>
        <w:tab/>
        <w:t>Usnesení Finančního výboru ze dne 6. 11. 2017 (bude předloženo na stůl!)</w:t>
      </w:r>
    </w:p>
    <w:p w:rsidR="008622E0" w:rsidRDefault="008622E0" w:rsidP="00031D28">
      <w:pPr>
        <w:pStyle w:val="vlevo"/>
      </w:pPr>
    </w:p>
    <w:p w:rsidR="005D72FB" w:rsidRDefault="005D72FB" w:rsidP="00031D28">
      <w:pPr>
        <w:pStyle w:val="vlevo"/>
      </w:pPr>
    </w:p>
    <w:sectPr w:rsidR="005D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4C"/>
    <w:multiLevelType w:val="hybridMultilevel"/>
    <w:tmpl w:val="1A3CE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641"/>
    <w:multiLevelType w:val="multilevel"/>
    <w:tmpl w:val="2752F22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117E7E"/>
    <w:multiLevelType w:val="hybridMultilevel"/>
    <w:tmpl w:val="431E2130"/>
    <w:lvl w:ilvl="0" w:tplc="10DC1A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E1C1A"/>
    <w:multiLevelType w:val="hybridMultilevel"/>
    <w:tmpl w:val="8B0E1BC4"/>
    <w:lvl w:ilvl="0" w:tplc="5A98EC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0380F"/>
    <w:multiLevelType w:val="hybridMultilevel"/>
    <w:tmpl w:val="F6F6F148"/>
    <w:lvl w:ilvl="0" w:tplc="76947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904959"/>
    <w:multiLevelType w:val="hybridMultilevel"/>
    <w:tmpl w:val="14DEF938"/>
    <w:lvl w:ilvl="0" w:tplc="53DA438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6C9D"/>
    <w:multiLevelType w:val="hybridMultilevel"/>
    <w:tmpl w:val="884A17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032F5"/>
    <w:multiLevelType w:val="multilevel"/>
    <w:tmpl w:val="2A8EE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F60B68"/>
    <w:multiLevelType w:val="hybridMultilevel"/>
    <w:tmpl w:val="0B181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9E5CE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89C90A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4606B2"/>
    <w:multiLevelType w:val="hybridMultilevel"/>
    <w:tmpl w:val="DCA8D032"/>
    <w:lvl w:ilvl="0" w:tplc="55620406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76936"/>
    <w:multiLevelType w:val="hybridMultilevel"/>
    <w:tmpl w:val="C2664060"/>
    <w:lvl w:ilvl="0" w:tplc="07DE1CAA">
      <w:start w:val="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1529E"/>
    <w:multiLevelType w:val="hybridMultilevel"/>
    <w:tmpl w:val="F6C0B31E"/>
    <w:lvl w:ilvl="0" w:tplc="07DE1CAA">
      <w:start w:val="6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17494"/>
    <w:multiLevelType w:val="hybridMultilevel"/>
    <w:tmpl w:val="2426459E"/>
    <w:lvl w:ilvl="0" w:tplc="5A98EC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5BAD296">
      <w:start w:val="11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A5405EE"/>
    <w:multiLevelType w:val="hybridMultilevel"/>
    <w:tmpl w:val="4406015A"/>
    <w:lvl w:ilvl="0" w:tplc="5A98EC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140472"/>
    <w:multiLevelType w:val="hybridMultilevel"/>
    <w:tmpl w:val="F8FEB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0258E"/>
    <w:multiLevelType w:val="hybridMultilevel"/>
    <w:tmpl w:val="053E79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1809A2"/>
    <w:multiLevelType w:val="hybridMultilevel"/>
    <w:tmpl w:val="0DF82962"/>
    <w:lvl w:ilvl="0" w:tplc="089C9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BF0BD0"/>
    <w:multiLevelType w:val="hybridMultilevel"/>
    <w:tmpl w:val="A8BCDF28"/>
    <w:lvl w:ilvl="0" w:tplc="A16C3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691BA1"/>
    <w:multiLevelType w:val="hybridMultilevel"/>
    <w:tmpl w:val="D9727CF4"/>
    <w:lvl w:ilvl="0" w:tplc="0B8A1A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9479C"/>
    <w:multiLevelType w:val="hybridMultilevel"/>
    <w:tmpl w:val="A6904C16"/>
    <w:lvl w:ilvl="0" w:tplc="8ACE78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2"/>
  </w:num>
  <w:num w:numId="9">
    <w:abstractNumId w:val="4"/>
  </w:num>
  <w:num w:numId="10">
    <w:abstractNumId w:val="16"/>
  </w:num>
  <w:num w:numId="11">
    <w:abstractNumId w:val="19"/>
  </w:num>
  <w:num w:numId="12">
    <w:abstractNumId w:val="9"/>
  </w:num>
  <w:num w:numId="13">
    <w:abstractNumId w:val="11"/>
  </w:num>
  <w:num w:numId="14">
    <w:abstractNumId w:val="10"/>
  </w:num>
  <w:num w:numId="15">
    <w:abstractNumId w:val="1"/>
    <w:lvlOverride w:ilvl="0">
      <w:startOverride w:val="2"/>
    </w:lvlOverride>
    <w:lvlOverride w:ilvl="1">
      <w:startOverride w:val="1"/>
    </w:lvlOverride>
  </w:num>
  <w:num w:numId="16">
    <w:abstractNumId w:val="1"/>
  </w:num>
  <w:num w:numId="17">
    <w:abstractNumId w:val="1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1"/>
  </w:num>
  <w:num w:numId="25">
    <w:abstractNumId w:val="1"/>
  </w:num>
  <w:num w:numId="26">
    <w:abstractNumId w:val="0"/>
  </w:num>
  <w:num w:numId="27">
    <w:abstractNumId w:val="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  <w:num w:numId="31">
    <w:abstractNumId w:val="18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63"/>
    <w:rsid w:val="00003116"/>
    <w:rsid w:val="0001462D"/>
    <w:rsid w:val="0001508A"/>
    <w:rsid w:val="00020B50"/>
    <w:rsid w:val="00024597"/>
    <w:rsid w:val="0002469C"/>
    <w:rsid w:val="00025724"/>
    <w:rsid w:val="00030881"/>
    <w:rsid w:val="00031D28"/>
    <w:rsid w:val="00032217"/>
    <w:rsid w:val="00036FC4"/>
    <w:rsid w:val="000418A6"/>
    <w:rsid w:val="00052920"/>
    <w:rsid w:val="000606B8"/>
    <w:rsid w:val="00074F2A"/>
    <w:rsid w:val="00094653"/>
    <w:rsid w:val="000D4E14"/>
    <w:rsid w:val="000E688D"/>
    <w:rsid w:val="000F525E"/>
    <w:rsid w:val="00100F2E"/>
    <w:rsid w:val="00107E07"/>
    <w:rsid w:val="0011175A"/>
    <w:rsid w:val="001152B0"/>
    <w:rsid w:val="00115BF5"/>
    <w:rsid w:val="00126734"/>
    <w:rsid w:val="0014705E"/>
    <w:rsid w:val="00154898"/>
    <w:rsid w:val="00162752"/>
    <w:rsid w:val="0016756D"/>
    <w:rsid w:val="00181EB4"/>
    <w:rsid w:val="00187F4A"/>
    <w:rsid w:val="0019381A"/>
    <w:rsid w:val="0019701C"/>
    <w:rsid w:val="00197F48"/>
    <w:rsid w:val="001B040F"/>
    <w:rsid w:val="001B380D"/>
    <w:rsid w:val="001F396A"/>
    <w:rsid w:val="002007A8"/>
    <w:rsid w:val="00203F5F"/>
    <w:rsid w:val="0020543D"/>
    <w:rsid w:val="0020780B"/>
    <w:rsid w:val="00210563"/>
    <w:rsid w:val="002113AF"/>
    <w:rsid w:val="0021734C"/>
    <w:rsid w:val="00221316"/>
    <w:rsid w:val="00230113"/>
    <w:rsid w:val="00244D1E"/>
    <w:rsid w:val="00255244"/>
    <w:rsid w:val="002564A2"/>
    <w:rsid w:val="00275CB4"/>
    <w:rsid w:val="00285AA7"/>
    <w:rsid w:val="00286F60"/>
    <w:rsid w:val="00287081"/>
    <w:rsid w:val="002A0166"/>
    <w:rsid w:val="002A52E5"/>
    <w:rsid w:val="002C1086"/>
    <w:rsid w:val="002D310E"/>
    <w:rsid w:val="002D4C7E"/>
    <w:rsid w:val="002E067B"/>
    <w:rsid w:val="002F296D"/>
    <w:rsid w:val="002F4F47"/>
    <w:rsid w:val="00310E4C"/>
    <w:rsid w:val="0031124F"/>
    <w:rsid w:val="00312282"/>
    <w:rsid w:val="00326349"/>
    <w:rsid w:val="00331717"/>
    <w:rsid w:val="00344075"/>
    <w:rsid w:val="00346C94"/>
    <w:rsid w:val="0036057A"/>
    <w:rsid w:val="00383AF0"/>
    <w:rsid w:val="00393138"/>
    <w:rsid w:val="003B2E09"/>
    <w:rsid w:val="003B4892"/>
    <w:rsid w:val="003E0311"/>
    <w:rsid w:val="003F0BBF"/>
    <w:rsid w:val="003F2C25"/>
    <w:rsid w:val="003F4264"/>
    <w:rsid w:val="003F4F02"/>
    <w:rsid w:val="003F7716"/>
    <w:rsid w:val="00410CD7"/>
    <w:rsid w:val="00412ED9"/>
    <w:rsid w:val="004169E7"/>
    <w:rsid w:val="0042076D"/>
    <w:rsid w:val="00421976"/>
    <w:rsid w:val="0042485D"/>
    <w:rsid w:val="00430201"/>
    <w:rsid w:val="004538DC"/>
    <w:rsid w:val="00457739"/>
    <w:rsid w:val="00460321"/>
    <w:rsid w:val="00460935"/>
    <w:rsid w:val="00461532"/>
    <w:rsid w:val="00466534"/>
    <w:rsid w:val="004724B4"/>
    <w:rsid w:val="00476E3E"/>
    <w:rsid w:val="00480684"/>
    <w:rsid w:val="00495359"/>
    <w:rsid w:val="004A3673"/>
    <w:rsid w:val="004B231F"/>
    <w:rsid w:val="004B7EA2"/>
    <w:rsid w:val="004F0DCF"/>
    <w:rsid w:val="004F696E"/>
    <w:rsid w:val="00513572"/>
    <w:rsid w:val="00531249"/>
    <w:rsid w:val="0054521C"/>
    <w:rsid w:val="00561A04"/>
    <w:rsid w:val="005750B0"/>
    <w:rsid w:val="005768C8"/>
    <w:rsid w:val="00576B0F"/>
    <w:rsid w:val="005849F3"/>
    <w:rsid w:val="00586025"/>
    <w:rsid w:val="00587314"/>
    <w:rsid w:val="005913C3"/>
    <w:rsid w:val="0059448D"/>
    <w:rsid w:val="00594DEF"/>
    <w:rsid w:val="005C5613"/>
    <w:rsid w:val="005D48A4"/>
    <w:rsid w:val="005D6F82"/>
    <w:rsid w:val="005D72FB"/>
    <w:rsid w:val="005D771E"/>
    <w:rsid w:val="005E551F"/>
    <w:rsid w:val="005E6318"/>
    <w:rsid w:val="005F434C"/>
    <w:rsid w:val="00600E6D"/>
    <w:rsid w:val="006070DF"/>
    <w:rsid w:val="00610120"/>
    <w:rsid w:val="0062552F"/>
    <w:rsid w:val="00626B88"/>
    <w:rsid w:val="00641B48"/>
    <w:rsid w:val="006532AF"/>
    <w:rsid w:val="00655146"/>
    <w:rsid w:val="00670ED8"/>
    <w:rsid w:val="00674DCE"/>
    <w:rsid w:val="006802B3"/>
    <w:rsid w:val="006A0133"/>
    <w:rsid w:val="006A284B"/>
    <w:rsid w:val="006A292E"/>
    <w:rsid w:val="006A35A5"/>
    <w:rsid w:val="006B36AC"/>
    <w:rsid w:val="006C2C54"/>
    <w:rsid w:val="006D1794"/>
    <w:rsid w:val="006D75E9"/>
    <w:rsid w:val="006E0381"/>
    <w:rsid w:val="006F0D5C"/>
    <w:rsid w:val="006F131D"/>
    <w:rsid w:val="006F194D"/>
    <w:rsid w:val="006F423F"/>
    <w:rsid w:val="00701242"/>
    <w:rsid w:val="00710E0D"/>
    <w:rsid w:val="00720F9C"/>
    <w:rsid w:val="00724BA5"/>
    <w:rsid w:val="00740338"/>
    <w:rsid w:val="00743CE2"/>
    <w:rsid w:val="00744CA6"/>
    <w:rsid w:val="007570CA"/>
    <w:rsid w:val="00784294"/>
    <w:rsid w:val="0079119F"/>
    <w:rsid w:val="00797F5B"/>
    <w:rsid w:val="007A320D"/>
    <w:rsid w:val="007B202E"/>
    <w:rsid w:val="007B3ED1"/>
    <w:rsid w:val="007C1E73"/>
    <w:rsid w:val="007C6FCD"/>
    <w:rsid w:val="007D1B76"/>
    <w:rsid w:val="007D3FCD"/>
    <w:rsid w:val="007D7815"/>
    <w:rsid w:val="007E3962"/>
    <w:rsid w:val="007F69D5"/>
    <w:rsid w:val="0080033D"/>
    <w:rsid w:val="008077C9"/>
    <w:rsid w:val="00815E69"/>
    <w:rsid w:val="0082272F"/>
    <w:rsid w:val="0082661A"/>
    <w:rsid w:val="00835975"/>
    <w:rsid w:val="00835EAC"/>
    <w:rsid w:val="008536F5"/>
    <w:rsid w:val="00860673"/>
    <w:rsid w:val="008622E0"/>
    <w:rsid w:val="00864AD0"/>
    <w:rsid w:val="00864F1D"/>
    <w:rsid w:val="00881C31"/>
    <w:rsid w:val="00881E26"/>
    <w:rsid w:val="008A0678"/>
    <w:rsid w:val="008C6471"/>
    <w:rsid w:val="008D0F03"/>
    <w:rsid w:val="008E0A59"/>
    <w:rsid w:val="008E7C00"/>
    <w:rsid w:val="00910923"/>
    <w:rsid w:val="00912842"/>
    <w:rsid w:val="00912CD0"/>
    <w:rsid w:val="00914621"/>
    <w:rsid w:val="00915D61"/>
    <w:rsid w:val="00920CC7"/>
    <w:rsid w:val="0092251A"/>
    <w:rsid w:val="00931B9E"/>
    <w:rsid w:val="0093766B"/>
    <w:rsid w:val="009407CF"/>
    <w:rsid w:val="009422CD"/>
    <w:rsid w:val="0094394C"/>
    <w:rsid w:val="00946CCA"/>
    <w:rsid w:val="009601AB"/>
    <w:rsid w:val="00963817"/>
    <w:rsid w:val="00965FF3"/>
    <w:rsid w:val="00972953"/>
    <w:rsid w:val="00975D27"/>
    <w:rsid w:val="00981F32"/>
    <w:rsid w:val="00983118"/>
    <w:rsid w:val="00983329"/>
    <w:rsid w:val="00991224"/>
    <w:rsid w:val="009A6433"/>
    <w:rsid w:val="009A7737"/>
    <w:rsid w:val="009B167E"/>
    <w:rsid w:val="009C476B"/>
    <w:rsid w:val="009C6647"/>
    <w:rsid w:val="009E0F5F"/>
    <w:rsid w:val="009E5BE9"/>
    <w:rsid w:val="009F098F"/>
    <w:rsid w:val="00A23975"/>
    <w:rsid w:val="00A40EEC"/>
    <w:rsid w:val="00A526C3"/>
    <w:rsid w:val="00A537E1"/>
    <w:rsid w:val="00A61C70"/>
    <w:rsid w:val="00A708D0"/>
    <w:rsid w:val="00A7493C"/>
    <w:rsid w:val="00A87757"/>
    <w:rsid w:val="00A95B83"/>
    <w:rsid w:val="00AC3F56"/>
    <w:rsid w:val="00AD66C2"/>
    <w:rsid w:val="00AE43A3"/>
    <w:rsid w:val="00AE690C"/>
    <w:rsid w:val="00AF02B3"/>
    <w:rsid w:val="00AF6AD6"/>
    <w:rsid w:val="00AF6B60"/>
    <w:rsid w:val="00B03438"/>
    <w:rsid w:val="00B126E2"/>
    <w:rsid w:val="00B20A53"/>
    <w:rsid w:val="00B23270"/>
    <w:rsid w:val="00B307DE"/>
    <w:rsid w:val="00B32F26"/>
    <w:rsid w:val="00B47053"/>
    <w:rsid w:val="00B60433"/>
    <w:rsid w:val="00B60AE3"/>
    <w:rsid w:val="00B613A1"/>
    <w:rsid w:val="00B636B4"/>
    <w:rsid w:val="00B6629E"/>
    <w:rsid w:val="00B77D63"/>
    <w:rsid w:val="00B80E44"/>
    <w:rsid w:val="00B840AB"/>
    <w:rsid w:val="00B92922"/>
    <w:rsid w:val="00B930EA"/>
    <w:rsid w:val="00BB20A0"/>
    <w:rsid w:val="00BB6EC9"/>
    <w:rsid w:val="00BC4A94"/>
    <w:rsid w:val="00BD2FBD"/>
    <w:rsid w:val="00BF494E"/>
    <w:rsid w:val="00BF6876"/>
    <w:rsid w:val="00C10631"/>
    <w:rsid w:val="00C17CE6"/>
    <w:rsid w:val="00C22C72"/>
    <w:rsid w:val="00C24EE7"/>
    <w:rsid w:val="00C32027"/>
    <w:rsid w:val="00C417C5"/>
    <w:rsid w:val="00C44C27"/>
    <w:rsid w:val="00C5093F"/>
    <w:rsid w:val="00C529A1"/>
    <w:rsid w:val="00C57309"/>
    <w:rsid w:val="00C6209E"/>
    <w:rsid w:val="00C63BC8"/>
    <w:rsid w:val="00C66426"/>
    <w:rsid w:val="00C81BEC"/>
    <w:rsid w:val="00C90BD9"/>
    <w:rsid w:val="00C94FD3"/>
    <w:rsid w:val="00C95ABE"/>
    <w:rsid w:val="00CA19B9"/>
    <w:rsid w:val="00CB5D11"/>
    <w:rsid w:val="00CC036D"/>
    <w:rsid w:val="00CD2521"/>
    <w:rsid w:val="00CD4150"/>
    <w:rsid w:val="00CD69C8"/>
    <w:rsid w:val="00CE4DB0"/>
    <w:rsid w:val="00CF7522"/>
    <w:rsid w:val="00D037F7"/>
    <w:rsid w:val="00D12D8B"/>
    <w:rsid w:val="00D30666"/>
    <w:rsid w:val="00D33910"/>
    <w:rsid w:val="00D415BB"/>
    <w:rsid w:val="00D73452"/>
    <w:rsid w:val="00D74929"/>
    <w:rsid w:val="00D779C0"/>
    <w:rsid w:val="00D9091B"/>
    <w:rsid w:val="00D90EDB"/>
    <w:rsid w:val="00D977D2"/>
    <w:rsid w:val="00DA0113"/>
    <w:rsid w:val="00DD0CB8"/>
    <w:rsid w:val="00DD2221"/>
    <w:rsid w:val="00DD4E30"/>
    <w:rsid w:val="00DE5949"/>
    <w:rsid w:val="00E0234F"/>
    <w:rsid w:val="00E03995"/>
    <w:rsid w:val="00E100FC"/>
    <w:rsid w:val="00E12330"/>
    <w:rsid w:val="00E35BDD"/>
    <w:rsid w:val="00E37E44"/>
    <w:rsid w:val="00E56D12"/>
    <w:rsid w:val="00E574F4"/>
    <w:rsid w:val="00E72005"/>
    <w:rsid w:val="00E73DAB"/>
    <w:rsid w:val="00E82028"/>
    <w:rsid w:val="00E968E7"/>
    <w:rsid w:val="00E97AEC"/>
    <w:rsid w:val="00EA70C1"/>
    <w:rsid w:val="00EC0DBC"/>
    <w:rsid w:val="00EC23CE"/>
    <w:rsid w:val="00EC5A2C"/>
    <w:rsid w:val="00EC5ED8"/>
    <w:rsid w:val="00EC692E"/>
    <w:rsid w:val="00ED0E3F"/>
    <w:rsid w:val="00ED712F"/>
    <w:rsid w:val="00EE2F60"/>
    <w:rsid w:val="00EF57C1"/>
    <w:rsid w:val="00F05AFF"/>
    <w:rsid w:val="00F10290"/>
    <w:rsid w:val="00F10C7C"/>
    <w:rsid w:val="00F21502"/>
    <w:rsid w:val="00F42772"/>
    <w:rsid w:val="00F470BD"/>
    <w:rsid w:val="00F535A8"/>
    <w:rsid w:val="00F54142"/>
    <w:rsid w:val="00F572C3"/>
    <w:rsid w:val="00F65A06"/>
    <w:rsid w:val="00F72212"/>
    <w:rsid w:val="00F8556D"/>
    <w:rsid w:val="00FA670E"/>
    <w:rsid w:val="00FA79C5"/>
    <w:rsid w:val="00FB09C7"/>
    <w:rsid w:val="00FB0C58"/>
    <w:rsid w:val="00FB22FA"/>
    <w:rsid w:val="00FB7008"/>
    <w:rsid w:val="00FC23DB"/>
    <w:rsid w:val="00FC2778"/>
    <w:rsid w:val="00FF13DF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28A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firstLine="36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rFonts w:ascii="Arial" w:hAnsi="Arial"/>
      <w:b/>
      <w:bCs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FooterChar">
    <w:name w:val="Footer Char"/>
    <w:semiHidden/>
    <w:locked/>
    <w:rPr>
      <w:rFonts w:cs="Times New Roman"/>
      <w:sz w:val="24"/>
      <w:szCs w:val="24"/>
    </w:rPr>
  </w:style>
  <w:style w:type="paragraph" w:customStyle="1" w:styleId="vlevo">
    <w:name w:val="vlevo"/>
    <w:basedOn w:val="Normln"/>
    <w:autoRedefine/>
    <w:rsid w:val="00031D28"/>
    <w:pPr>
      <w:tabs>
        <w:tab w:val="left" w:pos="1418"/>
        <w:tab w:val="left" w:pos="1701"/>
      </w:tabs>
      <w:ind w:left="1701" w:hanging="1701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pPr>
      <w:ind w:left="360"/>
      <w:jc w:val="both"/>
    </w:pPr>
    <w:rPr>
      <w:bCs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rsid w:val="00983329"/>
    <w:pPr>
      <w:spacing w:after="120"/>
    </w:pPr>
  </w:style>
  <w:style w:type="paragraph" w:styleId="Textbubliny">
    <w:name w:val="Balloon Text"/>
    <w:basedOn w:val="Normln"/>
    <w:semiHidden/>
    <w:rsid w:val="00991224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255244"/>
    <w:rPr>
      <w:rFonts w:ascii="Arial" w:hAnsi="Arial" w:cs="Arial"/>
      <w:b/>
      <w:bCs/>
    </w:rPr>
  </w:style>
  <w:style w:type="character" w:customStyle="1" w:styleId="TextkomenteChar">
    <w:name w:val="Text komentáře Char"/>
    <w:link w:val="Textkomente"/>
    <w:semiHidden/>
    <w:rsid w:val="00255244"/>
  </w:style>
  <w:style w:type="character" w:customStyle="1" w:styleId="Nadpis6Char">
    <w:name w:val="Nadpis 6 Char"/>
    <w:link w:val="Nadpis6"/>
    <w:rsid w:val="00FF328A"/>
    <w:rPr>
      <w:rFonts w:ascii="Arial" w:hAnsi="Arial" w:cs="Arial"/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60321"/>
    <w:pPr>
      <w:jc w:val="both"/>
    </w:pPr>
    <w:rPr>
      <w:szCs w:val="20"/>
    </w:rPr>
  </w:style>
  <w:style w:type="character" w:styleId="Odkaznakoment">
    <w:name w:val="annotation reference"/>
    <w:semiHidden/>
    <w:rsid w:val="00C95AB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95AB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B5D1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CB5D1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28A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firstLine="360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rFonts w:ascii="Arial" w:hAnsi="Arial"/>
      <w:b/>
      <w:bCs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FooterChar">
    <w:name w:val="Footer Char"/>
    <w:semiHidden/>
    <w:locked/>
    <w:rPr>
      <w:rFonts w:cs="Times New Roman"/>
      <w:sz w:val="24"/>
      <w:szCs w:val="24"/>
    </w:rPr>
  </w:style>
  <w:style w:type="paragraph" w:customStyle="1" w:styleId="vlevo">
    <w:name w:val="vlevo"/>
    <w:basedOn w:val="Normln"/>
    <w:autoRedefine/>
    <w:rsid w:val="00031D28"/>
    <w:pPr>
      <w:tabs>
        <w:tab w:val="left" w:pos="1418"/>
        <w:tab w:val="left" w:pos="1701"/>
      </w:tabs>
      <w:ind w:left="1701" w:hanging="1701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</w:pPr>
    <w:rPr>
      <w:b/>
      <w:spacing w:val="22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pPr>
      <w:ind w:left="360"/>
      <w:jc w:val="both"/>
    </w:pPr>
    <w:rPr>
      <w:bCs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rsid w:val="00983329"/>
    <w:pPr>
      <w:spacing w:after="120"/>
    </w:pPr>
  </w:style>
  <w:style w:type="paragraph" w:styleId="Textbubliny">
    <w:name w:val="Balloon Text"/>
    <w:basedOn w:val="Normln"/>
    <w:semiHidden/>
    <w:rsid w:val="00991224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255244"/>
    <w:rPr>
      <w:rFonts w:ascii="Arial" w:hAnsi="Arial" w:cs="Arial"/>
      <w:b/>
      <w:bCs/>
    </w:rPr>
  </w:style>
  <w:style w:type="character" w:customStyle="1" w:styleId="TextkomenteChar">
    <w:name w:val="Text komentáře Char"/>
    <w:link w:val="Textkomente"/>
    <w:semiHidden/>
    <w:rsid w:val="00255244"/>
  </w:style>
  <w:style w:type="character" w:customStyle="1" w:styleId="Nadpis6Char">
    <w:name w:val="Nadpis 6 Char"/>
    <w:link w:val="Nadpis6"/>
    <w:rsid w:val="00FF328A"/>
    <w:rPr>
      <w:rFonts w:ascii="Arial" w:hAnsi="Arial" w:cs="Arial"/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60321"/>
    <w:pPr>
      <w:jc w:val="both"/>
    </w:pPr>
    <w:rPr>
      <w:szCs w:val="20"/>
    </w:rPr>
  </w:style>
  <w:style w:type="character" w:styleId="Odkaznakoment">
    <w:name w:val="annotation reference"/>
    <w:semiHidden/>
    <w:rsid w:val="00C95AB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95AB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B5D11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CB5D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ankova\Plocha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7</TotalTime>
  <Pages>4</Pages>
  <Words>1393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berankova</dc:creator>
  <cp:lastModifiedBy>Hájková Adéla</cp:lastModifiedBy>
  <cp:revision>5</cp:revision>
  <cp:lastPrinted>2017-10-30T11:29:00Z</cp:lastPrinted>
  <dcterms:created xsi:type="dcterms:W3CDTF">2017-10-25T08:31:00Z</dcterms:created>
  <dcterms:modified xsi:type="dcterms:W3CDTF">2017-10-30T12:23:00Z</dcterms:modified>
</cp:coreProperties>
</file>