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5F" w:rsidRPr="0005095F" w:rsidRDefault="0005095F" w:rsidP="0005095F">
      <w:pPr>
        <w:pStyle w:val="ostzahl"/>
        <w:numPr>
          <w:ilvl w:val="0"/>
          <w:numId w:val="0"/>
        </w:numPr>
        <w:ind w:left="360" w:hanging="360"/>
        <w:jc w:val="center"/>
        <w:rPr>
          <w:sz w:val="28"/>
          <w:szCs w:val="28"/>
        </w:rPr>
      </w:pPr>
      <w:r w:rsidRPr="0005095F">
        <w:rPr>
          <w:sz w:val="28"/>
          <w:szCs w:val="28"/>
          <w:lang w:val="de-DE"/>
        </w:rPr>
        <w:t>D ů v o d o v á   z p r á v a</w:t>
      </w:r>
    </w:p>
    <w:p w:rsidR="00A111BF" w:rsidRDefault="00A111BF" w:rsidP="0005095F">
      <w:pPr>
        <w:pStyle w:val="ostzahl"/>
      </w:pPr>
      <w:r>
        <w:t>Název problému a jeho charakteristika</w:t>
      </w:r>
    </w:p>
    <w:p w:rsidR="00A111BF" w:rsidRDefault="00A111BF" w:rsidP="00C91633">
      <w:pPr>
        <w:pStyle w:val="vlevo"/>
      </w:pPr>
      <w:r>
        <w:t>Rozpočet města Plzně na rok 201</w:t>
      </w:r>
      <w:r w:rsidR="00C4596D">
        <w:t>8</w:t>
      </w:r>
      <w:r>
        <w:t xml:space="preserve"> </w:t>
      </w:r>
      <w:r w:rsidR="00C4596D">
        <w:t xml:space="preserve">a střednědobý výhled rozpočtu v letech </w:t>
      </w:r>
      <w:r>
        <w:t>201</w:t>
      </w:r>
      <w:r w:rsidR="00C4596D">
        <w:t>9</w:t>
      </w:r>
      <w:r>
        <w:t xml:space="preserve"> – 20</w:t>
      </w:r>
      <w:r w:rsidR="00967831">
        <w:t>2</w:t>
      </w:r>
      <w:r w:rsidR="00C4596D">
        <w:t>1</w:t>
      </w:r>
      <w:r>
        <w:t>.</w:t>
      </w:r>
    </w:p>
    <w:p w:rsidR="002060FC" w:rsidRDefault="002060FC" w:rsidP="00C91633">
      <w:pPr>
        <w:pStyle w:val="vlevo"/>
      </w:pPr>
    </w:p>
    <w:p w:rsidR="00A111BF" w:rsidRDefault="00A111BF">
      <w:pPr>
        <w:pStyle w:val="ostzahl"/>
      </w:pPr>
      <w:r>
        <w:t>Konstatování současného stavu a jeho analýza</w:t>
      </w:r>
    </w:p>
    <w:p w:rsidR="00742B6A" w:rsidRDefault="00C14B08" w:rsidP="00C91633">
      <w:pPr>
        <w:pStyle w:val="vlevo"/>
      </w:pPr>
      <w:r>
        <w:t>Rozpočet města Plzně na rok 201</w:t>
      </w:r>
      <w:r w:rsidR="00C4596D">
        <w:t>8</w:t>
      </w:r>
      <w:r>
        <w:t xml:space="preserve"> byl sestaven na základě potřeb a priorit jednotlivých správců rozpočtu v návaznosti na reálné možnosti krytí těchto potřeb. </w:t>
      </w:r>
    </w:p>
    <w:p w:rsidR="00FC2AB7" w:rsidRDefault="00FC2AB7" w:rsidP="00C91633">
      <w:pPr>
        <w:pStyle w:val="vlevo"/>
      </w:pPr>
    </w:p>
    <w:p w:rsidR="003F7BD4" w:rsidRDefault="00BE79F9" w:rsidP="00C91633">
      <w:pPr>
        <w:pStyle w:val="vlevo"/>
      </w:pPr>
      <w:r>
        <w:t>Vyrov</w:t>
      </w:r>
      <w:r w:rsidR="00924DB6">
        <w:t>n</w:t>
      </w:r>
      <w:r>
        <w:t>ané bilance roz</w:t>
      </w:r>
      <w:r w:rsidR="00924DB6">
        <w:t xml:space="preserve">počtu </w:t>
      </w:r>
      <w:r w:rsidR="00E93823">
        <w:t>m</w:t>
      </w:r>
      <w:r>
        <w:t xml:space="preserve">ěsta je dosaženo </w:t>
      </w:r>
      <w:r w:rsidR="00EA3871">
        <w:t xml:space="preserve">použitím prostředků </w:t>
      </w:r>
      <w:r w:rsidR="00924DB6">
        <w:t xml:space="preserve">nakumulovaných </w:t>
      </w:r>
      <w:r w:rsidR="004012DE" w:rsidRPr="00025694">
        <w:t>v předchozích letech ve fondech města</w:t>
      </w:r>
      <w:r w:rsidR="00924DB6">
        <w:t>, a to zejména</w:t>
      </w:r>
      <w:r w:rsidR="00E2056B">
        <w:t xml:space="preserve"> </w:t>
      </w:r>
      <w:r w:rsidR="003F7BD4">
        <w:t xml:space="preserve">použitím </w:t>
      </w:r>
      <w:r w:rsidR="004012DE" w:rsidRPr="00025694">
        <w:t>Fondu rezerv a rozvoje MP</w:t>
      </w:r>
      <w:r w:rsidR="0013753C">
        <w:t xml:space="preserve"> a Fondu MP pro kofinancování dotovaných projektů</w:t>
      </w:r>
      <w:r w:rsidR="00E2056B">
        <w:t xml:space="preserve">. </w:t>
      </w:r>
    </w:p>
    <w:p w:rsidR="00EA3871" w:rsidRDefault="00EA3871" w:rsidP="00C91633">
      <w:pPr>
        <w:pStyle w:val="vlevo"/>
      </w:pPr>
    </w:p>
    <w:p w:rsidR="00014639" w:rsidRDefault="00014639" w:rsidP="00C91633">
      <w:pPr>
        <w:pStyle w:val="vlevo"/>
      </w:pPr>
      <w:r>
        <w:t xml:space="preserve">V rámci rozpočtu celoměstských orgánů (MMP) je </w:t>
      </w:r>
      <w:r w:rsidR="00A94BB6">
        <w:t>na příjmové stránce kalkulováno s</w:t>
      </w:r>
      <w:r>
        <w:t xml:space="preserve"> dotac</w:t>
      </w:r>
      <w:r w:rsidR="00A94BB6">
        <w:t>í</w:t>
      </w:r>
      <w:r>
        <w:t xml:space="preserve"> ze státního rozpočtu, tzv. souhrnný</w:t>
      </w:r>
      <w:r w:rsidR="00A94BB6">
        <w:t>m</w:t>
      </w:r>
      <w:r>
        <w:t xml:space="preserve"> dotační</w:t>
      </w:r>
      <w:r w:rsidR="00A94BB6">
        <w:t>m</w:t>
      </w:r>
      <w:r>
        <w:t xml:space="preserve"> vztah</w:t>
      </w:r>
      <w:r w:rsidR="00A94BB6">
        <w:t>em</w:t>
      </w:r>
      <w:r>
        <w:t xml:space="preserve"> (</w:t>
      </w:r>
      <w:r w:rsidR="00A94BB6">
        <w:t xml:space="preserve">tj. </w:t>
      </w:r>
      <w:r>
        <w:t>p</w:t>
      </w:r>
      <w:r w:rsidR="00A94BB6">
        <w:t>říspěvek na výkon státní správy a</w:t>
      </w:r>
      <w:r>
        <w:t xml:space="preserve"> dotace pro</w:t>
      </w:r>
      <w:r w:rsidR="004474E4">
        <w:t xml:space="preserve"> Dětské centrum Plzeň</w:t>
      </w:r>
      <w:r w:rsidR="0092689C">
        <w:t>)</w:t>
      </w:r>
      <w:r>
        <w:t xml:space="preserve">. </w:t>
      </w:r>
      <w:r w:rsidR="00FC2AB7">
        <w:t xml:space="preserve">Výše dotace je zapracována </w:t>
      </w:r>
      <w:r w:rsidR="006F3A18">
        <w:t>na základě 1. čtení</w:t>
      </w:r>
      <w:r w:rsidR="00FC2AB7">
        <w:t xml:space="preserve"> zákona </w:t>
      </w:r>
      <w:r w:rsidR="00A94BB6">
        <w:t>o státním rozpočtu na rok 201</w:t>
      </w:r>
      <w:r w:rsidR="00C4596D">
        <w:t>8</w:t>
      </w:r>
      <w:r w:rsidR="00DB2929">
        <w:t xml:space="preserve"> </w:t>
      </w:r>
      <w:r w:rsidR="00FC2AB7">
        <w:t xml:space="preserve">a může </w:t>
      </w:r>
      <w:r w:rsidR="00025694">
        <w:t xml:space="preserve">být </w:t>
      </w:r>
      <w:r w:rsidR="0013753C">
        <w:t xml:space="preserve">po schválení státního rozpočtu </w:t>
      </w:r>
      <w:r w:rsidR="00FC2AB7">
        <w:t>ještě upřesněna</w:t>
      </w:r>
      <w:r w:rsidR="006F3A18">
        <w:t xml:space="preserve"> oznámením Krajského úřadu Plzeňského kraje</w:t>
      </w:r>
      <w:r w:rsidR="00FC2AB7">
        <w:t>.</w:t>
      </w:r>
    </w:p>
    <w:p w:rsidR="0099509C" w:rsidRDefault="0099509C" w:rsidP="00C91633">
      <w:pPr>
        <w:pStyle w:val="vlevo"/>
      </w:pPr>
    </w:p>
    <w:p w:rsidR="00B60F1E" w:rsidRDefault="00C14B08" w:rsidP="00C91633">
      <w:pPr>
        <w:pStyle w:val="vlevo"/>
      </w:pPr>
      <w:r>
        <w:t>Bilance rozpočtu města jako celku vychází z dílčích návrhů rozpočtů (rozpočtu celoměstských orgánů – MMP a rozpočtů jednotlivých městských obvodů – MO).</w:t>
      </w:r>
    </w:p>
    <w:p w:rsidR="00025694" w:rsidRDefault="00C14B08" w:rsidP="00C91633">
      <w:pPr>
        <w:pStyle w:val="vlevo"/>
      </w:pPr>
      <w:r>
        <w:t>Rozpočty jednotlivých městských obvodů vycház</w:t>
      </w:r>
      <w:r w:rsidR="008D626B">
        <w:t>ej</w:t>
      </w:r>
      <w:r>
        <w:t xml:space="preserve">í z finančního vztahu rozpočtu města k rozpočtům městských obvodů (dále jen finanční vztah), který tvoří v souladu se </w:t>
      </w:r>
      <w:r w:rsidR="005A3CC1">
        <w:t xml:space="preserve">Statutem města v platném </w:t>
      </w:r>
      <w:r>
        <w:t xml:space="preserve">znění procentní podíl na </w:t>
      </w:r>
      <w:r w:rsidR="005A3CC1">
        <w:t xml:space="preserve">celkových příjmech z cizích daní, </w:t>
      </w:r>
      <w:r w:rsidR="00F71DD7">
        <w:t>kompenzace</w:t>
      </w:r>
      <w:r w:rsidR="00F71DD7" w:rsidRPr="00F71DD7">
        <w:t xml:space="preserve"> podílu na příjmech z odvodu z loterií a jiných podobných her</w:t>
      </w:r>
      <w:r>
        <w:t xml:space="preserve"> a podíl příspěvk</w:t>
      </w:r>
      <w:r w:rsidR="003B0343">
        <w:t>u na výkon státní správy</w:t>
      </w:r>
      <w:r>
        <w:t>.</w:t>
      </w:r>
      <w:r w:rsidR="003B0343">
        <w:t xml:space="preserve"> </w:t>
      </w:r>
      <w:r>
        <w:t>Finanční vztah pro rok 201</w:t>
      </w:r>
      <w:r w:rsidR="00C4596D">
        <w:t>8</w:t>
      </w:r>
      <w:r>
        <w:t xml:space="preserve"> včetně </w:t>
      </w:r>
      <w:r w:rsidR="0013753C">
        <w:t>střednědobého výhledu rozpočtu v letech 2019 - 2021</w:t>
      </w:r>
      <w:r>
        <w:t xml:space="preserve"> byl schválen usnesením ZMP</w:t>
      </w:r>
      <w:r w:rsidR="003B0343">
        <w:t xml:space="preserve"> </w:t>
      </w:r>
      <w:r>
        <w:t xml:space="preserve">č. </w:t>
      </w:r>
      <w:r w:rsidR="00F71DD7">
        <w:t>5</w:t>
      </w:r>
      <w:r w:rsidR="00C4596D">
        <w:t>09</w:t>
      </w:r>
      <w:r w:rsidR="003B0343">
        <w:t xml:space="preserve"> ze dne </w:t>
      </w:r>
      <w:r w:rsidR="00C4596D">
        <w:t>9</w:t>
      </w:r>
      <w:r>
        <w:t>.</w:t>
      </w:r>
      <w:r w:rsidR="003B0343">
        <w:t xml:space="preserve"> </w:t>
      </w:r>
      <w:r w:rsidR="00EA3871">
        <w:t>11</w:t>
      </w:r>
      <w:r>
        <w:t>.</w:t>
      </w:r>
      <w:r w:rsidR="003B0343">
        <w:t xml:space="preserve"> </w:t>
      </w:r>
      <w:r>
        <w:t>201</w:t>
      </w:r>
      <w:r w:rsidR="00C4596D">
        <w:t>7</w:t>
      </w:r>
      <w:r w:rsidR="00EA2909">
        <w:t xml:space="preserve">. </w:t>
      </w:r>
    </w:p>
    <w:p w:rsidR="00420E84" w:rsidRDefault="00420E84" w:rsidP="00C91633">
      <w:pPr>
        <w:pStyle w:val="vlevo"/>
      </w:pPr>
    </w:p>
    <w:p w:rsidR="00DB2929" w:rsidRDefault="00A15DEA" w:rsidP="00C91633">
      <w:pPr>
        <w:pStyle w:val="vlevo"/>
      </w:pPr>
      <w:r w:rsidRPr="00A111BF">
        <w:t>Rozpočet MMP na rok 201</w:t>
      </w:r>
      <w:r w:rsidR="00C4596D">
        <w:t>8</w:t>
      </w:r>
      <w:r w:rsidRPr="00A111BF">
        <w:t xml:space="preserve"> byl sestavován v souladu </w:t>
      </w:r>
      <w:r w:rsidR="00C4596D">
        <w:t xml:space="preserve">s interními předpisy a </w:t>
      </w:r>
      <w:r w:rsidRPr="00A111BF">
        <w:t>Zásadami pro sestavení rozpočtu města Plzně na rok 201</w:t>
      </w:r>
      <w:r w:rsidR="00C4596D">
        <w:t>8</w:t>
      </w:r>
      <w:r w:rsidRPr="00A111BF">
        <w:t xml:space="preserve"> schválen</w:t>
      </w:r>
      <w:r w:rsidR="00DB2929">
        <w:t>ými</w:t>
      </w:r>
      <w:r w:rsidRPr="00A111BF">
        <w:t xml:space="preserve"> usnesením RMP č. </w:t>
      </w:r>
      <w:r w:rsidR="00C4596D">
        <w:t>707</w:t>
      </w:r>
      <w:r w:rsidR="00B60F1E">
        <w:t xml:space="preserve"> </w:t>
      </w:r>
      <w:r w:rsidRPr="00A111BF">
        <w:t xml:space="preserve">ze dne </w:t>
      </w:r>
      <w:r w:rsidR="00C4596D">
        <w:t>29</w:t>
      </w:r>
      <w:r w:rsidRPr="00A111BF">
        <w:t>.</w:t>
      </w:r>
      <w:r w:rsidR="009E3664">
        <w:t xml:space="preserve"> </w:t>
      </w:r>
      <w:r w:rsidRPr="00A111BF">
        <w:t>6.</w:t>
      </w:r>
      <w:r w:rsidR="009E3664">
        <w:t xml:space="preserve"> </w:t>
      </w:r>
      <w:r w:rsidRPr="00A111BF">
        <w:t>20</w:t>
      </w:r>
      <w:r>
        <w:t>1</w:t>
      </w:r>
      <w:r w:rsidR="00C4596D">
        <w:t>7</w:t>
      </w:r>
      <w:r w:rsidRPr="00A111BF">
        <w:t xml:space="preserve">. Návrh rozpočtu MMP zpracovaný prvotně příslušně odvětvovými odbory (správci rozpočtu) byl následně konzultován s EÚ MMP, kde jednotlivé návrhy byly porovnávány s posledním </w:t>
      </w:r>
      <w:r w:rsidR="003C7C8B">
        <w:t xml:space="preserve">schváleným </w:t>
      </w:r>
      <w:r w:rsidRPr="00A111BF">
        <w:t>rozpočtovým výh</w:t>
      </w:r>
      <w:r w:rsidR="00E55371">
        <w:t>ledem</w:t>
      </w:r>
      <w:r w:rsidR="00DB2929" w:rsidRPr="008D7966">
        <w:t>,</w:t>
      </w:r>
      <w:r w:rsidR="00DB2929">
        <w:t xml:space="preserve"> </w:t>
      </w:r>
      <w:r w:rsidR="00DB2929" w:rsidRPr="00A111BF">
        <w:t>dále pak se skutečným plněním rozpočtu minulých dvou let, s rozpočtem na rok 20</w:t>
      </w:r>
      <w:r w:rsidR="00EA2909">
        <w:t>1</w:t>
      </w:r>
      <w:r w:rsidR="00C4596D">
        <w:t>7</w:t>
      </w:r>
      <w:r w:rsidR="00DB2929" w:rsidRPr="00A111BF">
        <w:t xml:space="preserve"> a </w:t>
      </w:r>
      <w:r w:rsidR="008D626B">
        <w:t xml:space="preserve">s </w:t>
      </w:r>
      <w:r w:rsidR="00DB2929" w:rsidRPr="00A111BF">
        <w:t>očekávaným plněním rozpočtu za rok 20</w:t>
      </w:r>
      <w:r w:rsidR="00DB2929">
        <w:t>1</w:t>
      </w:r>
      <w:r w:rsidR="00C4596D">
        <w:t>7.</w:t>
      </w:r>
    </w:p>
    <w:p w:rsidR="003873A8" w:rsidRDefault="003873A8" w:rsidP="00C91633">
      <w:pPr>
        <w:pStyle w:val="vlevo"/>
      </w:pPr>
    </w:p>
    <w:p w:rsidR="00A15DEA" w:rsidRDefault="00A15DEA" w:rsidP="00C91633">
      <w:pPr>
        <w:pStyle w:val="vlevo"/>
      </w:pPr>
      <w:r w:rsidRPr="00AA7953">
        <w:t>Další komentář k jednotlivým parametrům rozpočtu</w:t>
      </w:r>
      <w:r w:rsidR="00A94BB6" w:rsidRPr="00AA7953">
        <w:t xml:space="preserve">, </w:t>
      </w:r>
      <w:r w:rsidR="00C4596D">
        <w:t>střednědobého</w:t>
      </w:r>
      <w:r w:rsidR="00A94BB6" w:rsidRPr="00AA7953">
        <w:t xml:space="preserve"> výhledu </w:t>
      </w:r>
      <w:r w:rsidR="00C4596D">
        <w:t>rozpočtu</w:t>
      </w:r>
      <w:r w:rsidRPr="00AA7953">
        <w:t xml:space="preserve"> je součástí materiálu o rozpočtu města na rok 201</w:t>
      </w:r>
      <w:r w:rsidR="00C4596D">
        <w:t>8</w:t>
      </w:r>
      <w:r w:rsidRPr="00AA7953">
        <w:t xml:space="preserve"> (Příloha č. 1</w:t>
      </w:r>
      <w:r w:rsidR="00A94BB6" w:rsidRPr="00AA7953">
        <w:t xml:space="preserve"> tohoto usnesení</w:t>
      </w:r>
      <w:r w:rsidRPr="00AA7953">
        <w:t>).</w:t>
      </w:r>
    </w:p>
    <w:p w:rsidR="00466EA5" w:rsidRDefault="00466EA5" w:rsidP="00C91633">
      <w:pPr>
        <w:pStyle w:val="vlevo"/>
      </w:pPr>
    </w:p>
    <w:p w:rsidR="008E33EB" w:rsidRDefault="0014794A" w:rsidP="00C91633">
      <w:pPr>
        <w:pStyle w:val="vlevo"/>
      </w:pPr>
      <w:r>
        <w:t>Pro přehled předpokládaného vývoje základních parametrů rozpočtu města</w:t>
      </w:r>
      <w:r w:rsidR="008E33EB">
        <w:t xml:space="preserve"> byl sestaven Dlouhodobý finanční plán </w:t>
      </w:r>
      <w:r>
        <w:t xml:space="preserve">v letech </w:t>
      </w:r>
      <w:r w:rsidR="008E33EB">
        <w:t>202</w:t>
      </w:r>
      <w:r w:rsidR="00C4596D">
        <w:t>2</w:t>
      </w:r>
      <w:r w:rsidR="008E33EB">
        <w:t xml:space="preserve"> – 202</w:t>
      </w:r>
      <w:r w:rsidR="00C4596D">
        <w:t>8</w:t>
      </w:r>
      <w:r w:rsidR="008E33EB">
        <w:t xml:space="preserve"> (viz. </w:t>
      </w:r>
      <w:proofErr w:type="gramStart"/>
      <w:r w:rsidR="008E33EB">
        <w:t>příloha</w:t>
      </w:r>
      <w:proofErr w:type="gramEnd"/>
      <w:r w:rsidR="008E33EB">
        <w:t xml:space="preserve"> č. </w:t>
      </w:r>
      <w:r w:rsidR="004D7A54">
        <w:t>4</w:t>
      </w:r>
      <w:r w:rsidR="008E33EB">
        <w:t>).</w:t>
      </w:r>
    </w:p>
    <w:p w:rsidR="008E33EB" w:rsidRDefault="008E33EB" w:rsidP="00C91633">
      <w:pPr>
        <w:pStyle w:val="vlevo"/>
      </w:pPr>
    </w:p>
    <w:p w:rsidR="008E33EB" w:rsidRPr="008E33EB" w:rsidRDefault="008E33EB" w:rsidP="00C91633">
      <w:pPr>
        <w:pStyle w:val="vlevo"/>
      </w:pPr>
      <w:r w:rsidRPr="008E33EB">
        <w:t xml:space="preserve">Dlouhodobý finanční plán je </w:t>
      </w:r>
      <w:r w:rsidR="0014794A">
        <w:t>sestavován</w:t>
      </w:r>
      <w:r w:rsidRPr="008E33EB">
        <w:t xml:space="preserve"> </w:t>
      </w:r>
      <w:r w:rsidR="0014794A">
        <w:t xml:space="preserve">v rámci </w:t>
      </w:r>
      <w:r w:rsidRPr="008E33EB">
        <w:t>MMP ve struktuře souhrnné bilance a bilance příjmů, výdajů a financování</w:t>
      </w:r>
      <w:r w:rsidR="0014794A">
        <w:t>.</w:t>
      </w:r>
      <w:r w:rsidR="0014794A" w:rsidRPr="0014794A">
        <w:t xml:space="preserve"> </w:t>
      </w:r>
      <w:r w:rsidR="0014794A">
        <w:t>N</w:t>
      </w:r>
      <w:r w:rsidR="0014794A" w:rsidRPr="0014794A">
        <w:t>avazuje na střednědobý výhled rozpočtu a končí 10. rokem následujícím po rozpočtu na daný kalendářní rok.</w:t>
      </w:r>
    </w:p>
    <w:p w:rsidR="008E33EB" w:rsidRPr="00067290" w:rsidRDefault="008E33EB" w:rsidP="008E33EB">
      <w:pPr>
        <w:pStyle w:val="Nadpis2"/>
        <w:numPr>
          <w:ilvl w:val="0"/>
          <w:numId w:val="0"/>
        </w:numPr>
        <w:tabs>
          <w:tab w:val="left" w:pos="493"/>
        </w:tabs>
        <w:ind w:left="674" w:hanging="494"/>
        <w:rPr>
          <w:rFonts w:ascii="Times New Roman" w:hAnsi="Times New Roman"/>
          <w:b w:val="0"/>
        </w:rPr>
      </w:pPr>
      <w:r w:rsidRPr="00067290">
        <w:rPr>
          <w:rFonts w:ascii="Times New Roman" w:hAnsi="Times New Roman"/>
          <w:b w:val="0"/>
        </w:rPr>
        <w:t xml:space="preserve">Dlouhodobý plán příjmů </w:t>
      </w:r>
    </w:p>
    <w:p w:rsidR="008E33EB" w:rsidRPr="00C916A3" w:rsidRDefault="008E33EB" w:rsidP="008E33EB">
      <w:pPr>
        <w:pStyle w:val="Zkladntextodsazen"/>
        <w:numPr>
          <w:ilvl w:val="0"/>
          <w:numId w:val="27"/>
        </w:numPr>
        <w:rPr>
          <w:rFonts w:ascii="Times New Roman" w:hAnsi="Times New Roman"/>
        </w:rPr>
      </w:pPr>
      <w:r w:rsidRPr="00C916A3">
        <w:rPr>
          <w:rFonts w:ascii="Times New Roman" w:hAnsi="Times New Roman"/>
        </w:rPr>
        <w:t xml:space="preserve">u příjmů z cizích daní uvažován meziroční nárůst cca 1 % </w:t>
      </w:r>
    </w:p>
    <w:p w:rsidR="008E33EB" w:rsidRPr="00C916A3" w:rsidRDefault="008E33EB" w:rsidP="008E33EB">
      <w:pPr>
        <w:pStyle w:val="Zkladntextodsazen"/>
        <w:numPr>
          <w:ilvl w:val="0"/>
          <w:numId w:val="27"/>
        </w:numPr>
        <w:rPr>
          <w:rFonts w:ascii="Times New Roman" w:hAnsi="Times New Roman"/>
        </w:rPr>
      </w:pPr>
      <w:r w:rsidRPr="00C916A3">
        <w:rPr>
          <w:rFonts w:ascii="Times New Roman" w:hAnsi="Times New Roman"/>
        </w:rPr>
        <w:t>příjmy z odvodu z loterií a jiných podobných her plánován</w:t>
      </w:r>
      <w:r w:rsidR="00D67933" w:rsidRPr="00C916A3">
        <w:rPr>
          <w:rFonts w:ascii="Times New Roman" w:hAnsi="Times New Roman"/>
        </w:rPr>
        <w:t xml:space="preserve">y </w:t>
      </w:r>
      <w:r w:rsidR="00C4596D">
        <w:rPr>
          <w:rFonts w:ascii="Times New Roman" w:hAnsi="Times New Roman"/>
        </w:rPr>
        <w:t>z d</w:t>
      </w:r>
      <w:r w:rsidR="003355D6">
        <w:rPr>
          <w:rFonts w:ascii="Times New Roman" w:hAnsi="Times New Roman"/>
        </w:rPr>
        <w:t>ů</w:t>
      </w:r>
      <w:r w:rsidR="00C4596D">
        <w:rPr>
          <w:rFonts w:ascii="Times New Roman" w:hAnsi="Times New Roman"/>
        </w:rPr>
        <w:t>vodu legislativní nejistoty v</w:t>
      </w:r>
      <w:r w:rsidR="00D67933" w:rsidRPr="00C916A3">
        <w:rPr>
          <w:rFonts w:ascii="Times New Roman" w:hAnsi="Times New Roman"/>
        </w:rPr>
        <w:t>e</w:t>
      </w:r>
      <w:r w:rsidRPr="00C916A3">
        <w:rPr>
          <w:rFonts w:ascii="Times New Roman" w:hAnsi="Times New Roman"/>
        </w:rPr>
        <w:t xml:space="preserve"> výši</w:t>
      </w:r>
      <w:r w:rsidR="00D67933" w:rsidRPr="00C916A3">
        <w:rPr>
          <w:rFonts w:ascii="Times New Roman" w:hAnsi="Times New Roman"/>
        </w:rPr>
        <w:t xml:space="preserve"> </w:t>
      </w:r>
      <w:r w:rsidR="00C4596D">
        <w:rPr>
          <w:rFonts w:ascii="Times New Roman" w:hAnsi="Times New Roman"/>
        </w:rPr>
        <w:t>10</w:t>
      </w:r>
      <w:r w:rsidR="00BE7EAA" w:rsidRPr="00C916A3">
        <w:rPr>
          <w:rFonts w:ascii="Times New Roman" w:hAnsi="Times New Roman"/>
        </w:rPr>
        <w:t>0</w:t>
      </w:r>
      <w:r w:rsidRPr="00C916A3">
        <w:rPr>
          <w:rFonts w:ascii="Times New Roman" w:hAnsi="Times New Roman"/>
        </w:rPr>
        <w:t xml:space="preserve"> mil. Kč (převod MO – 66,4 mil. Kč)</w:t>
      </w:r>
    </w:p>
    <w:p w:rsidR="008E33EB" w:rsidRPr="00C916A3" w:rsidRDefault="00D67933" w:rsidP="008E33EB">
      <w:pPr>
        <w:pStyle w:val="Zkladntextodsazen"/>
        <w:numPr>
          <w:ilvl w:val="0"/>
          <w:numId w:val="27"/>
        </w:numPr>
        <w:rPr>
          <w:rFonts w:ascii="Times New Roman" w:hAnsi="Times New Roman"/>
        </w:rPr>
      </w:pPr>
      <w:r w:rsidRPr="00C916A3">
        <w:rPr>
          <w:rFonts w:ascii="Times New Roman" w:hAnsi="Times New Roman"/>
        </w:rPr>
        <w:lastRenderedPageBreak/>
        <w:t>u příjmů</w:t>
      </w:r>
      <w:r w:rsidR="00BE7EAA" w:rsidRPr="00C916A3">
        <w:rPr>
          <w:rFonts w:ascii="Times New Roman" w:hAnsi="Times New Roman"/>
        </w:rPr>
        <w:t xml:space="preserve"> z pronájmů zachována úroveň roku 20</w:t>
      </w:r>
      <w:r w:rsidR="00C56A12" w:rsidRPr="00C916A3">
        <w:rPr>
          <w:rFonts w:ascii="Times New Roman" w:hAnsi="Times New Roman"/>
        </w:rPr>
        <w:t>2</w:t>
      </w:r>
      <w:r w:rsidR="00C4596D">
        <w:rPr>
          <w:rFonts w:ascii="Times New Roman" w:hAnsi="Times New Roman"/>
        </w:rPr>
        <w:t>1</w:t>
      </w:r>
      <w:r w:rsidR="00BE7EAA" w:rsidRPr="00C916A3">
        <w:rPr>
          <w:rFonts w:ascii="Times New Roman" w:hAnsi="Times New Roman"/>
        </w:rPr>
        <w:t xml:space="preserve"> včetně pronájmu vodárenské infrastruktury (</w:t>
      </w:r>
      <w:r w:rsidRPr="00C916A3">
        <w:rPr>
          <w:rFonts w:ascii="Times New Roman" w:hAnsi="Times New Roman"/>
        </w:rPr>
        <w:t xml:space="preserve">u vodárenské infrastruktury </w:t>
      </w:r>
      <w:r w:rsidR="00C56A12" w:rsidRPr="00C916A3">
        <w:rPr>
          <w:rFonts w:ascii="Times New Roman" w:hAnsi="Times New Roman"/>
        </w:rPr>
        <w:t xml:space="preserve">zároveň </w:t>
      </w:r>
      <w:r w:rsidR="00BE7EAA" w:rsidRPr="00C916A3">
        <w:rPr>
          <w:rFonts w:ascii="Times New Roman" w:hAnsi="Times New Roman"/>
        </w:rPr>
        <w:t xml:space="preserve">uvažován stejný </w:t>
      </w:r>
      <w:r w:rsidRPr="00C916A3">
        <w:rPr>
          <w:rFonts w:ascii="Times New Roman" w:hAnsi="Times New Roman"/>
        </w:rPr>
        <w:t>finanční model</w:t>
      </w:r>
      <w:r w:rsidR="00C56A12" w:rsidRPr="00C916A3">
        <w:rPr>
          <w:rFonts w:ascii="Times New Roman" w:hAnsi="Times New Roman"/>
        </w:rPr>
        <w:t>, kdy příjmy z pronájmu jsou využity pouze v dané oblasti</w:t>
      </w:r>
      <w:r w:rsidR="00BE7EAA" w:rsidRPr="00C916A3">
        <w:rPr>
          <w:rFonts w:ascii="Times New Roman" w:hAnsi="Times New Roman"/>
        </w:rPr>
        <w:t>)</w:t>
      </w:r>
    </w:p>
    <w:p w:rsidR="008E33EB" w:rsidRPr="00C916A3" w:rsidRDefault="008E33EB" w:rsidP="008E33EB">
      <w:pPr>
        <w:pStyle w:val="Zkladntextodsazen"/>
        <w:numPr>
          <w:ilvl w:val="0"/>
          <w:numId w:val="27"/>
        </w:numPr>
        <w:rPr>
          <w:rFonts w:ascii="Times New Roman" w:hAnsi="Times New Roman"/>
        </w:rPr>
      </w:pPr>
      <w:r w:rsidRPr="00C916A3">
        <w:rPr>
          <w:rFonts w:ascii="Times New Roman" w:hAnsi="Times New Roman"/>
        </w:rPr>
        <w:t xml:space="preserve">nejsou zapracovány </w:t>
      </w:r>
      <w:r w:rsidR="00D67933" w:rsidRPr="00C916A3">
        <w:rPr>
          <w:rFonts w:ascii="Times New Roman" w:hAnsi="Times New Roman"/>
        </w:rPr>
        <w:t xml:space="preserve">žádné </w:t>
      </w:r>
      <w:r w:rsidR="00C4596D">
        <w:rPr>
          <w:rFonts w:ascii="Times New Roman" w:hAnsi="Times New Roman"/>
        </w:rPr>
        <w:t xml:space="preserve">dividendy a </w:t>
      </w:r>
      <w:r w:rsidRPr="00C916A3">
        <w:rPr>
          <w:rFonts w:ascii="Times New Roman" w:hAnsi="Times New Roman"/>
        </w:rPr>
        <w:t>odvody PO (větší možnost zapojení fondů na údržbu majetku PO)</w:t>
      </w:r>
    </w:p>
    <w:p w:rsidR="008E33EB" w:rsidRPr="00C916A3" w:rsidRDefault="008E33EB" w:rsidP="008E33EB">
      <w:pPr>
        <w:pStyle w:val="Zkladntextodsazen"/>
        <w:numPr>
          <w:ilvl w:val="0"/>
          <w:numId w:val="27"/>
        </w:numPr>
        <w:rPr>
          <w:rFonts w:ascii="Times New Roman" w:hAnsi="Times New Roman"/>
        </w:rPr>
      </w:pPr>
      <w:r w:rsidRPr="00C916A3">
        <w:rPr>
          <w:rFonts w:ascii="Times New Roman" w:hAnsi="Times New Roman"/>
        </w:rPr>
        <w:t>od r. 20</w:t>
      </w:r>
      <w:r w:rsidR="00FA37B0" w:rsidRPr="00C916A3">
        <w:rPr>
          <w:rFonts w:ascii="Times New Roman" w:hAnsi="Times New Roman"/>
        </w:rPr>
        <w:t>2</w:t>
      </w:r>
      <w:r w:rsidR="00C4596D">
        <w:rPr>
          <w:rFonts w:ascii="Times New Roman" w:hAnsi="Times New Roman"/>
        </w:rPr>
        <w:t>2</w:t>
      </w:r>
      <w:r w:rsidRPr="00C916A3">
        <w:rPr>
          <w:rFonts w:ascii="Times New Roman" w:hAnsi="Times New Roman"/>
        </w:rPr>
        <w:t xml:space="preserve"> prodeje majetku na ú</w:t>
      </w:r>
      <w:r w:rsidR="00C4596D">
        <w:rPr>
          <w:rFonts w:ascii="Times New Roman" w:hAnsi="Times New Roman"/>
        </w:rPr>
        <w:t>rovni 1</w:t>
      </w:r>
      <w:r w:rsidR="00C56A12" w:rsidRPr="00C916A3">
        <w:rPr>
          <w:rFonts w:ascii="Times New Roman" w:hAnsi="Times New Roman"/>
        </w:rPr>
        <w:t>0</w:t>
      </w:r>
      <w:r w:rsidRPr="00C916A3">
        <w:rPr>
          <w:rFonts w:ascii="Times New Roman" w:hAnsi="Times New Roman"/>
        </w:rPr>
        <w:t xml:space="preserve"> mil. Kč</w:t>
      </w:r>
      <w:r w:rsidR="00D67933" w:rsidRPr="00C916A3">
        <w:rPr>
          <w:rFonts w:ascii="Times New Roman" w:hAnsi="Times New Roman"/>
        </w:rPr>
        <w:t xml:space="preserve"> ročně</w:t>
      </w:r>
    </w:p>
    <w:p w:rsidR="008E33EB" w:rsidRPr="00067290" w:rsidRDefault="008E33EB" w:rsidP="00BE7EAA">
      <w:pPr>
        <w:pStyle w:val="Nadpis2"/>
        <w:numPr>
          <w:ilvl w:val="0"/>
          <w:numId w:val="0"/>
        </w:numPr>
        <w:tabs>
          <w:tab w:val="left" w:pos="493"/>
        </w:tabs>
        <w:ind w:left="454"/>
        <w:rPr>
          <w:rFonts w:ascii="Times New Roman" w:hAnsi="Times New Roman"/>
          <w:b w:val="0"/>
        </w:rPr>
      </w:pPr>
      <w:r w:rsidRPr="00067290">
        <w:rPr>
          <w:rFonts w:ascii="Times New Roman" w:hAnsi="Times New Roman"/>
          <w:b w:val="0"/>
        </w:rPr>
        <w:t>Dlouhodobý plán výdajů</w:t>
      </w:r>
    </w:p>
    <w:p w:rsidR="008E33EB" w:rsidRPr="00C916A3" w:rsidRDefault="008E33EB" w:rsidP="00BE7EAA">
      <w:pPr>
        <w:pStyle w:val="Zkladntextodsazen"/>
        <w:numPr>
          <w:ilvl w:val="0"/>
          <w:numId w:val="27"/>
        </w:numPr>
        <w:rPr>
          <w:rFonts w:ascii="Times New Roman" w:hAnsi="Times New Roman"/>
        </w:rPr>
      </w:pPr>
      <w:r w:rsidRPr="00C916A3">
        <w:rPr>
          <w:rFonts w:ascii="Times New Roman" w:hAnsi="Times New Roman"/>
        </w:rPr>
        <w:t xml:space="preserve">v rámci provozních výdajů -  běžné výdaje </w:t>
      </w:r>
      <w:r w:rsidR="00BE7EAA" w:rsidRPr="00C916A3">
        <w:rPr>
          <w:rFonts w:ascii="Times New Roman" w:hAnsi="Times New Roman"/>
        </w:rPr>
        <w:t>zachována úroveň r. 20</w:t>
      </w:r>
      <w:r w:rsidR="00C56A12" w:rsidRPr="00C916A3">
        <w:rPr>
          <w:rFonts w:ascii="Times New Roman" w:hAnsi="Times New Roman"/>
        </w:rPr>
        <w:t>2</w:t>
      </w:r>
      <w:r w:rsidR="00C4596D">
        <w:rPr>
          <w:rFonts w:ascii="Times New Roman" w:hAnsi="Times New Roman"/>
        </w:rPr>
        <w:t>1</w:t>
      </w:r>
    </w:p>
    <w:p w:rsidR="00BE7EAA" w:rsidRPr="00C916A3" w:rsidRDefault="00BE7EAA" w:rsidP="00BE7EAA">
      <w:pPr>
        <w:pStyle w:val="Zkladntextodsazen"/>
        <w:numPr>
          <w:ilvl w:val="0"/>
          <w:numId w:val="27"/>
        </w:numPr>
        <w:rPr>
          <w:rFonts w:ascii="Times New Roman" w:hAnsi="Times New Roman"/>
        </w:rPr>
      </w:pPr>
      <w:r w:rsidRPr="00C916A3">
        <w:rPr>
          <w:rFonts w:ascii="Times New Roman" w:hAnsi="Times New Roman"/>
        </w:rPr>
        <w:t>v rámci provozních výdajů – běžné výdaje spr</w:t>
      </w:r>
      <w:r w:rsidR="00C56A12" w:rsidRPr="00C916A3">
        <w:rPr>
          <w:rFonts w:ascii="Times New Roman" w:hAnsi="Times New Roman"/>
        </w:rPr>
        <w:t>áva majetku zachována ú</w:t>
      </w:r>
      <w:r w:rsidR="00C4596D">
        <w:rPr>
          <w:rFonts w:ascii="Times New Roman" w:hAnsi="Times New Roman"/>
        </w:rPr>
        <w:t>roveň 2021</w:t>
      </w:r>
    </w:p>
    <w:p w:rsidR="008E33EB" w:rsidRPr="00C916A3" w:rsidRDefault="008E33EB" w:rsidP="008E33EB">
      <w:pPr>
        <w:pStyle w:val="Zkladntextodsazen"/>
        <w:numPr>
          <w:ilvl w:val="0"/>
          <w:numId w:val="27"/>
        </w:numPr>
        <w:rPr>
          <w:rFonts w:ascii="Times New Roman" w:hAnsi="Times New Roman"/>
        </w:rPr>
      </w:pPr>
      <w:r w:rsidRPr="00C916A3">
        <w:rPr>
          <w:rFonts w:ascii="Times New Roman" w:hAnsi="Times New Roman"/>
        </w:rPr>
        <w:t>placené úroky zapracovány v souladu se splátkovým kalendářem úvěrů</w:t>
      </w:r>
    </w:p>
    <w:p w:rsidR="008E33EB" w:rsidRPr="00C916A3" w:rsidRDefault="008E33EB" w:rsidP="008E33EB">
      <w:pPr>
        <w:pStyle w:val="Zkladntextodsazen"/>
        <w:numPr>
          <w:ilvl w:val="0"/>
          <w:numId w:val="27"/>
        </w:numPr>
        <w:rPr>
          <w:rFonts w:ascii="Times New Roman" w:hAnsi="Times New Roman"/>
        </w:rPr>
      </w:pPr>
      <w:r w:rsidRPr="00C916A3">
        <w:rPr>
          <w:rFonts w:ascii="Times New Roman" w:hAnsi="Times New Roman"/>
        </w:rPr>
        <w:t>saldo DPH rozpočtováno ve všech letech ve výši 20 mil. Kč</w:t>
      </w:r>
    </w:p>
    <w:p w:rsidR="008E33EB" w:rsidRPr="00C916A3" w:rsidRDefault="008E33EB" w:rsidP="008E33EB">
      <w:pPr>
        <w:pStyle w:val="Zkladntextodsazen"/>
        <w:numPr>
          <w:ilvl w:val="0"/>
          <w:numId w:val="27"/>
        </w:numPr>
        <w:rPr>
          <w:rFonts w:ascii="Times New Roman" w:hAnsi="Times New Roman"/>
        </w:rPr>
      </w:pPr>
      <w:r w:rsidRPr="00C916A3">
        <w:rPr>
          <w:rFonts w:ascii="Times New Roman" w:hAnsi="Times New Roman"/>
        </w:rPr>
        <w:t>provozní příspěvky PO zapracovány bez nárůstu</w:t>
      </w:r>
    </w:p>
    <w:p w:rsidR="00BE7EAA" w:rsidRPr="00345F10" w:rsidRDefault="00BE7EAA" w:rsidP="00345F10">
      <w:pPr>
        <w:pStyle w:val="Zkladntextodsazen"/>
        <w:numPr>
          <w:ilvl w:val="0"/>
          <w:numId w:val="27"/>
        </w:numPr>
        <w:rPr>
          <w:rFonts w:ascii="Times New Roman" w:hAnsi="Times New Roman"/>
        </w:rPr>
      </w:pPr>
      <w:r w:rsidRPr="00C916A3">
        <w:rPr>
          <w:rFonts w:ascii="Times New Roman" w:hAnsi="Times New Roman"/>
        </w:rPr>
        <w:t xml:space="preserve">ostatní provozní výdaje – zachovány rezervy </w:t>
      </w:r>
      <w:r w:rsidR="00D67933" w:rsidRPr="00C916A3">
        <w:rPr>
          <w:rFonts w:ascii="Times New Roman" w:hAnsi="Times New Roman"/>
        </w:rPr>
        <w:t xml:space="preserve">na </w:t>
      </w:r>
      <w:r w:rsidRPr="00C916A3">
        <w:rPr>
          <w:rFonts w:ascii="Times New Roman" w:hAnsi="Times New Roman"/>
        </w:rPr>
        <w:t>úrovni roku 20</w:t>
      </w:r>
      <w:r w:rsidR="00C4596D">
        <w:rPr>
          <w:rFonts w:ascii="Times New Roman" w:hAnsi="Times New Roman"/>
        </w:rPr>
        <w:t>21</w:t>
      </w:r>
      <w:r w:rsidR="00D67933" w:rsidRPr="00C916A3">
        <w:rPr>
          <w:rFonts w:ascii="Times New Roman" w:hAnsi="Times New Roman"/>
        </w:rPr>
        <w:t>, tj. včetně rezerv na provoz projektů ITI</w:t>
      </w:r>
      <w:r w:rsidR="00345F10">
        <w:rPr>
          <w:rFonts w:ascii="Times New Roman" w:hAnsi="Times New Roman"/>
        </w:rPr>
        <w:t xml:space="preserve">, </w:t>
      </w:r>
      <w:r w:rsidR="000941BB" w:rsidRPr="00C916A3">
        <w:rPr>
          <w:rFonts w:ascii="Times New Roman" w:hAnsi="Times New Roman"/>
        </w:rPr>
        <w:t xml:space="preserve">rezervy na případnou náhradu podpory </w:t>
      </w:r>
      <w:proofErr w:type="spellStart"/>
      <w:r w:rsidR="000941BB" w:rsidRPr="00C916A3">
        <w:rPr>
          <w:rFonts w:ascii="Times New Roman" w:hAnsi="Times New Roman"/>
        </w:rPr>
        <w:t>Techmania</w:t>
      </w:r>
      <w:proofErr w:type="spellEnd"/>
      <w:r w:rsidR="000941BB" w:rsidRPr="00C916A3">
        <w:rPr>
          <w:rFonts w:ascii="Times New Roman" w:hAnsi="Times New Roman"/>
        </w:rPr>
        <w:t xml:space="preserve"> Science Center, kdy v souladu s uzavřenou smlouvou je tato podpora ukončena v r. 2019</w:t>
      </w:r>
      <w:r w:rsidR="00345F10">
        <w:rPr>
          <w:rFonts w:ascii="Times New Roman" w:hAnsi="Times New Roman"/>
        </w:rPr>
        <w:t xml:space="preserve"> a rezervy na zajištění provozu</w:t>
      </w:r>
      <w:r w:rsidR="00345F10" w:rsidRPr="00345F10">
        <w:rPr>
          <w:rFonts w:ascii="Times New Roman" w:hAnsi="Times New Roman"/>
        </w:rPr>
        <w:t xml:space="preserve"> KD Peklo</w:t>
      </w:r>
    </w:p>
    <w:p w:rsidR="008E33EB" w:rsidRPr="00C916A3" w:rsidRDefault="008E33EB" w:rsidP="008E33EB">
      <w:pPr>
        <w:pStyle w:val="Zkladntextodsazen"/>
        <w:numPr>
          <w:ilvl w:val="0"/>
          <w:numId w:val="27"/>
        </w:numPr>
        <w:rPr>
          <w:rFonts w:ascii="Times New Roman" w:hAnsi="Times New Roman"/>
        </w:rPr>
      </w:pPr>
      <w:r w:rsidRPr="00C916A3">
        <w:rPr>
          <w:rFonts w:ascii="Times New Roman" w:hAnsi="Times New Roman"/>
        </w:rPr>
        <w:t xml:space="preserve">transfer PMDP zapracován s meziročním nárůstem cca </w:t>
      </w:r>
      <w:r w:rsidR="00BE7EAA" w:rsidRPr="00C916A3">
        <w:rPr>
          <w:rFonts w:ascii="Times New Roman" w:hAnsi="Times New Roman"/>
        </w:rPr>
        <w:t>1</w:t>
      </w:r>
      <w:r w:rsidRPr="00C916A3">
        <w:rPr>
          <w:rFonts w:ascii="Times New Roman" w:hAnsi="Times New Roman"/>
        </w:rPr>
        <w:t>%</w:t>
      </w:r>
    </w:p>
    <w:p w:rsidR="008E33EB" w:rsidRPr="00C916A3" w:rsidRDefault="008E33EB" w:rsidP="008E33EB">
      <w:pPr>
        <w:pStyle w:val="Zkladntextodsazen"/>
        <w:numPr>
          <w:ilvl w:val="0"/>
          <w:numId w:val="27"/>
        </w:numPr>
        <w:rPr>
          <w:rFonts w:ascii="Times New Roman" w:hAnsi="Times New Roman"/>
        </w:rPr>
      </w:pPr>
      <w:r w:rsidRPr="00C916A3">
        <w:rPr>
          <w:rFonts w:ascii="Times New Roman" w:hAnsi="Times New Roman"/>
        </w:rPr>
        <w:t>zac</w:t>
      </w:r>
      <w:r w:rsidR="000941BB" w:rsidRPr="00C916A3">
        <w:rPr>
          <w:rFonts w:ascii="Times New Roman" w:hAnsi="Times New Roman"/>
        </w:rPr>
        <w:t>h</w:t>
      </w:r>
      <w:r w:rsidR="00C4596D">
        <w:rPr>
          <w:rFonts w:ascii="Times New Roman" w:hAnsi="Times New Roman"/>
        </w:rPr>
        <w:t>ována úroveň transferů roku 2021</w:t>
      </w:r>
      <w:r w:rsidR="0013753C">
        <w:rPr>
          <w:rFonts w:ascii="Times New Roman" w:hAnsi="Times New Roman"/>
        </w:rPr>
        <w:t xml:space="preserve">, vždy jednou za dva roky jsou zapracovány prostředky na dotační program „Plzeňské podnikatelské vouchery“. </w:t>
      </w:r>
    </w:p>
    <w:p w:rsidR="00BE7EAA" w:rsidRDefault="00BE7EAA" w:rsidP="008E33EB">
      <w:pPr>
        <w:pStyle w:val="Zkladntextodsazen"/>
        <w:numPr>
          <w:ilvl w:val="0"/>
          <w:numId w:val="27"/>
        </w:numPr>
        <w:rPr>
          <w:rFonts w:ascii="Times New Roman" w:hAnsi="Times New Roman"/>
        </w:rPr>
      </w:pPr>
      <w:r w:rsidRPr="00C916A3">
        <w:rPr>
          <w:rFonts w:ascii="Times New Roman" w:hAnsi="Times New Roman"/>
        </w:rPr>
        <w:t>stavební investice – ostatní správci – zapracována běžná úroveň</w:t>
      </w:r>
    </w:p>
    <w:p w:rsidR="009A1558" w:rsidRPr="00C916A3" w:rsidRDefault="009A1558" w:rsidP="008E33EB">
      <w:pPr>
        <w:pStyle w:val="Zkladntextodsazen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stavební investice Odboru investic nejsou v rámci výdajů naplněny, pro financování těchto </w:t>
      </w:r>
      <w:r w:rsidR="00B43ED4">
        <w:rPr>
          <w:rFonts w:ascii="Times New Roman" w:hAnsi="Times New Roman"/>
        </w:rPr>
        <w:t>potřeb</w:t>
      </w:r>
      <w:r>
        <w:rPr>
          <w:rFonts w:ascii="Times New Roman" w:hAnsi="Times New Roman"/>
        </w:rPr>
        <w:t xml:space="preserve"> je v rámci FRR tvořena investiční rezerva z „volných“ bilančních zdrojů v letech 202</w:t>
      </w:r>
      <w:r w:rsidR="00C4596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– 202</w:t>
      </w:r>
      <w:r w:rsidR="00C4596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v průměrné výši </w:t>
      </w:r>
      <w:r w:rsidR="0013753C" w:rsidRPr="0013753C">
        <w:rPr>
          <w:rFonts w:ascii="Times New Roman" w:hAnsi="Times New Roman"/>
        </w:rPr>
        <w:t>450</w:t>
      </w:r>
      <w:r w:rsidRPr="0013753C">
        <w:rPr>
          <w:rFonts w:ascii="Times New Roman" w:hAnsi="Times New Roman"/>
        </w:rPr>
        <w:t xml:space="preserve"> mil.</w:t>
      </w:r>
      <w:r>
        <w:rPr>
          <w:rFonts w:ascii="Times New Roman" w:hAnsi="Times New Roman"/>
        </w:rPr>
        <w:t xml:space="preserve"> Kč za rok. </w:t>
      </w:r>
    </w:p>
    <w:p w:rsidR="008E33EB" w:rsidRDefault="008E33EB" w:rsidP="008E33EB">
      <w:pPr>
        <w:pStyle w:val="Zkladntextodsazen"/>
        <w:numPr>
          <w:ilvl w:val="0"/>
          <w:numId w:val="27"/>
        </w:numPr>
        <w:rPr>
          <w:rFonts w:ascii="Times New Roman" w:hAnsi="Times New Roman"/>
        </w:rPr>
      </w:pPr>
      <w:r w:rsidRPr="00C916A3">
        <w:rPr>
          <w:rFonts w:ascii="Times New Roman" w:hAnsi="Times New Roman"/>
        </w:rPr>
        <w:t>investiční příspěvky PO</w:t>
      </w:r>
      <w:r w:rsidR="00BE7EAA" w:rsidRPr="00C916A3">
        <w:rPr>
          <w:rFonts w:ascii="Times New Roman" w:hAnsi="Times New Roman"/>
        </w:rPr>
        <w:t xml:space="preserve"> – zapracován pouze obvyklý příspěvek pro Útvar koncepce a rozvoje MP na studie</w:t>
      </w:r>
    </w:p>
    <w:p w:rsidR="002E16FA" w:rsidRDefault="002E16FA" w:rsidP="002E16FA">
      <w:pPr>
        <w:pStyle w:val="Zkladntextodsazen"/>
        <w:ind w:left="1211" w:firstLine="0"/>
        <w:rPr>
          <w:rFonts w:ascii="Times New Roman" w:hAnsi="Times New Roman"/>
        </w:rPr>
      </w:pPr>
    </w:p>
    <w:p w:rsidR="00805812" w:rsidRDefault="00805812" w:rsidP="002E16FA">
      <w:pPr>
        <w:pStyle w:val="Zkladntextodsazen"/>
        <w:ind w:left="1211" w:firstLine="0"/>
        <w:rPr>
          <w:rFonts w:ascii="Times New Roman" w:hAnsi="Times New Roman"/>
        </w:rPr>
      </w:pPr>
    </w:p>
    <w:p w:rsidR="002E16FA" w:rsidRPr="00067290" w:rsidRDefault="002E16FA" w:rsidP="002E16FA">
      <w:pPr>
        <w:pStyle w:val="Zkladntextodsazen"/>
        <w:rPr>
          <w:rFonts w:ascii="Times New Roman" w:hAnsi="Times New Roman"/>
        </w:rPr>
      </w:pPr>
      <w:r w:rsidRPr="00067290">
        <w:rPr>
          <w:rFonts w:ascii="Times New Roman" w:hAnsi="Times New Roman"/>
        </w:rPr>
        <w:t>Dlouhodobý plán financování</w:t>
      </w:r>
    </w:p>
    <w:p w:rsidR="002E16FA" w:rsidRDefault="002E16FA" w:rsidP="00D67933">
      <w:pPr>
        <w:pStyle w:val="Zkladntextodsazen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převody MO v rámci finančního vztahu jsou zapracovány se zachováním parametrů platných pro rok 201</w:t>
      </w:r>
      <w:r w:rsidR="00C4596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a výhledy 201</w:t>
      </w:r>
      <w:r w:rsidR="00C4596D">
        <w:rPr>
          <w:rFonts w:ascii="Times New Roman" w:hAnsi="Times New Roman"/>
        </w:rPr>
        <w:t>9</w:t>
      </w:r>
      <w:r>
        <w:rPr>
          <w:rFonts w:ascii="Times New Roman" w:hAnsi="Times New Roman"/>
        </w:rPr>
        <w:t>-202</w:t>
      </w:r>
      <w:r w:rsidR="00C4596D">
        <w:rPr>
          <w:rFonts w:ascii="Times New Roman" w:hAnsi="Times New Roman"/>
        </w:rPr>
        <w:t>1</w:t>
      </w:r>
    </w:p>
    <w:p w:rsidR="002E16FA" w:rsidRDefault="002E16FA" w:rsidP="00D67933">
      <w:pPr>
        <w:pStyle w:val="Zkladntextodsazen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v rámci Fondu rezerv a rozvoje je ve všech letech dlouhodobého plánu i nadále tvořena rezerva na podporu sportu v městě Plzni ve výši 10,1 mil. Kč</w:t>
      </w:r>
    </w:p>
    <w:p w:rsidR="00B43ED4" w:rsidRDefault="005F7A3D" w:rsidP="00B43ED4">
      <w:pPr>
        <w:pStyle w:val="Zkladntextodsazen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nevyužité</w:t>
      </w:r>
      <w:r w:rsidR="009A15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prostředky</w:t>
      </w:r>
      <w:r w:rsidR="00D67933" w:rsidRPr="00C916A3">
        <w:rPr>
          <w:rFonts w:ascii="Times New Roman" w:hAnsi="Times New Roman"/>
        </w:rPr>
        <w:t xml:space="preserve"> jednotlivých let </w:t>
      </w:r>
      <w:r w:rsidR="009A1558">
        <w:rPr>
          <w:rFonts w:ascii="Times New Roman" w:hAnsi="Times New Roman"/>
        </w:rPr>
        <w:t xml:space="preserve">jsou převedeny do investiční rezervy Fondu rezerv a rozvoje na financování rozpočtu </w:t>
      </w:r>
      <w:r w:rsidR="00B43ED4">
        <w:rPr>
          <w:rFonts w:ascii="Times New Roman" w:hAnsi="Times New Roman"/>
        </w:rPr>
        <w:t>OI</w:t>
      </w:r>
    </w:p>
    <w:p w:rsidR="00B43ED4" w:rsidRDefault="00B43ED4" w:rsidP="00B43ED4">
      <w:pPr>
        <w:pStyle w:val="Zkladntextodsazen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tvorba a použití ostatních fondů je zapracována v souladu s jejich statuty</w:t>
      </w:r>
    </w:p>
    <w:p w:rsidR="00B43ED4" w:rsidRDefault="00B43ED4" w:rsidP="00B43ED4">
      <w:pPr>
        <w:pStyle w:val="Zkladntextodsazen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splátky úvěrů jsou zapracovány v s</w:t>
      </w:r>
      <w:r w:rsidR="00C4596D">
        <w:rPr>
          <w:rFonts w:ascii="Times New Roman" w:hAnsi="Times New Roman"/>
        </w:rPr>
        <w:t xml:space="preserve">ouladu se splátkovými kalendáři. </w:t>
      </w:r>
      <w:r w:rsidR="00FE324E">
        <w:rPr>
          <w:rFonts w:ascii="Times New Roman" w:hAnsi="Times New Roman"/>
        </w:rPr>
        <w:t>V roce 2026 je ukončeno splácení úvěru EIB I/1 „Doplnění vodohospodářské infrastruktury města Plzně</w:t>
      </w:r>
    </w:p>
    <w:p w:rsidR="008E33EB" w:rsidRDefault="008E33EB" w:rsidP="00C91633">
      <w:pPr>
        <w:pStyle w:val="vlevo"/>
      </w:pPr>
    </w:p>
    <w:p w:rsidR="00067290" w:rsidRDefault="00067290" w:rsidP="00FB05F1">
      <w:pPr>
        <w:jc w:val="both"/>
      </w:pPr>
    </w:p>
    <w:p w:rsidR="005F2300" w:rsidRDefault="005F2300" w:rsidP="00FB05F1">
      <w:pPr>
        <w:jc w:val="both"/>
      </w:pPr>
      <w:r w:rsidRPr="005F2300">
        <w:t xml:space="preserve">Orgánům města je dále předložen návrh na poskytnutí </w:t>
      </w:r>
      <w:r w:rsidR="008D626B">
        <w:t>dobrovolného</w:t>
      </w:r>
      <w:r w:rsidR="00BF4704">
        <w:t xml:space="preserve"> </w:t>
      </w:r>
      <w:r w:rsidRPr="008E7438">
        <w:t>peněžitého příplatku akcionáře mimo základní kapitál</w:t>
      </w:r>
      <w:r w:rsidR="0008048C">
        <w:t xml:space="preserve"> společnosti</w:t>
      </w:r>
      <w:r w:rsidRPr="008E7438">
        <w:t xml:space="preserve"> (dále jen příplatek), a to na základě smlouvy o poskytnutí příplatku mezi městem Plzeň a společností PMDP</w:t>
      </w:r>
      <w:r>
        <w:t>, a. s.</w:t>
      </w:r>
    </w:p>
    <w:p w:rsidR="0008048C" w:rsidRDefault="009A18FE" w:rsidP="00FB05F1">
      <w:pPr>
        <w:jc w:val="both"/>
      </w:pPr>
      <w:r>
        <w:t xml:space="preserve">Smlouva o příplatku je uzavírána v souladu s </w:t>
      </w:r>
      <w:r w:rsidR="0008048C">
        <w:t>usnesení</w:t>
      </w:r>
      <w:r>
        <w:t>m</w:t>
      </w:r>
      <w:r w:rsidR="0008048C">
        <w:t xml:space="preserve"> ZMP č. 181 ze dne 26. 4. 2012</w:t>
      </w:r>
      <w:r>
        <w:t>, na základě kterého</w:t>
      </w:r>
      <w:r w:rsidR="0008048C">
        <w:t xml:space="preserve"> byla uzavřená</w:t>
      </w:r>
      <w:r w:rsidR="0008048C" w:rsidRPr="00116F48">
        <w:t xml:space="preserve"> Smlouv</w:t>
      </w:r>
      <w:r w:rsidR="0008048C">
        <w:t>a</w:t>
      </w:r>
      <w:r w:rsidR="0008048C" w:rsidRPr="00116F48">
        <w:t xml:space="preserve"> o vybudování nového areálu dopravní základny pro Plzeňské dopravní podniky, a. s.,</w:t>
      </w:r>
      <w:r w:rsidR="0008048C">
        <w:t xml:space="preserve"> </w:t>
      </w:r>
      <w:r w:rsidR="0008048C" w:rsidRPr="00116F48">
        <w:t xml:space="preserve">o poskytování oprav, údržby a odstavu vozidel městské hromadné dopravy provozovaných na území města Plzně ze dne 23. 5. 2012 mezi PMDP, a. s. </w:t>
      </w:r>
      <w:r>
        <w:lastRenderedPageBreak/>
        <w:t>a Sdružením MHD SERVIS PLZEŇ a kterým</w:t>
      </w:r>
      <w:r w:rsidR="0008048C">
        <w:t xml:space="preserve"> </w:t>
      </w:r>
      <w:proofErr w:type="gramStart"/>
      <w:r w:rsidR="0008048C">
        <w:t xml:space="preserve">se </w:t>
      </w:r>
      <w:r>
        <w:t xml:space="preserve"> </w:t>
      </w:r>
      <w:r w:rsidR="0008048C">
        <w:t>město</w:t>
      </w:r>
      <w:proofErr w:type="gramEnd"/>
      <w:r w:rsidR="0008048C">
        <w:t xml:space="preserve"> </w:t>
      </w:r>
      <w:r w:rsidR="0008048C" w:rsidRPr="0008048C">
        <w:t xml:space="preserve">zavázalo </w:t>
      </w:r>
      <w:r>
        <w:t>k ručení závazků své 100% vlastněné společnosti (PMDP, a.s.) spojených s pořízením investice</w:t>
      </w:r>
      <w:r w:rsidR="0008048C">
        <w:t>.</w:t>
      </w:r>
    </w:p>
    <w:p w:rsidR="005F2300" w:rsidRDefault="005F2300" w:rsidP="00FB05F1">
      <w:pPr>
        <w:jc w:val="both"/>
      </w:pPr>
    </w:p>
    <w:p w:rsidR="00001E5D" w:rsidRPr="006A031A" w:rsidRDefault="00001E5D" w:rsidP="005F2300">
      <w:pPr>
        <w:jc w:val="both"/>
      </w:pPr>
      <w:r w:rsidRPr="006A031A">
        <w:t>V roce 2018 dochází ke změně mechanismu poskytnutí příplatku. V předcházejících dvou letech byl příplatek poskytován na kalendářní rok, a to formou čtyř čtvrtletních splátek, vždy na základě Smlouvy o poskytnutí příplatku (dále jen smlouva) uzavřené mezi společností a akcionářem na daný kalendářní rok.</w:t>
      </w:r>
    </w:p>
    <w:p w:rsidR="00001E5D" w:rsidRPr="006A031A" w:rsidRDefault="00001E5D" w:rsidP="005F2300">
      <w:pPr>
        <w:jc w:val="both"/>
      </w:pPr>
      <w:r w:rsidRPr="006A031A">
        <w:t xml:space="preserve">Na základě praktických zkušeností z předchozích dvou let dochází ke změně týkající se začátku období platnosti smlouvy, na jejímž základě je příplatek poskytován. Nově bude od </w:t>
      </w:r>
      <w:r w:rsidR="00602AEB" w:rsidRPr="006A031A">
        <w:t xml:space="preserve">poloviny </w:t>
      </w:r>
      <w:r w:rsidRPr="006A031A">
        <w:t>roku 2018</w:t>
      </w:r>
      <w:r w:rsidR="00602AEB" w:rsidRPr="006A031A">
        <w:t xml:space="preserve"> probíhat schvalovací proces i samotné uzavření roční smlouvy v orgánech města a společnosti v měsíci červnu běžného roku s platností smlouvy od 1. 7. do 30. 6. následujícího roku. </w:t>
      </w:r>
      <w:r w:rsidRPr="006A031A">
        <w:t xml:space="preserve"> </w:t>
      </w:r>
      <w:r w:rsidR="005C58DB" w:rsidRPr="006A031A">
        <w:t xml:space="preserve">Tento časový posun umožní akcionáři </w:t>
      </w:r>
      <w:r w:rsidR="00C40B33" w:rsidRPr="006A031A">
        <w:t xml:space="preserve">lépe </w:t>
      </w:r>
      <w:r w:rsidR="00F37D9C" w:rsidRPr="006A031A">
        <w:t>rozhodovat o výši poskytnutého příplatku</w:t>
      </w:r>
      <w:r w:rsidR="00C40B33" w:rsidRPr="006A031A">
        <w:t xml:space="preserve">, a to </w:t>
      </w:r>
      <w:r w:rsidR="005C58DB" w:rsidRPr="006A031A">
        <w:t>ve vazbě na dosažené výsledky hospodaření společnosti za poslední účetní období</w:t>
      </w:r>
      <w:r w:rsidR="00F37D9C" w:rsidRPr="006A031A">
        <w:t xml:space="preserve"> </w:t>
      </w:r>
      <w:r w:rsidR="00FB2357" w:rsidRPr="006A031A">
        <w:t xml:space="preserve">a ve vazbě na její </w:t>
      </w:r>
      <w:r w:rsidR="002D2E68" w:rsidRPr="006A031A">
        <w:t>aktuální</w:t>
      </w:r>
      <w:r w:rsidR="00FB2357" w:rsidRPr="006A031A">
        <w:t xml:space="preserve"> </w:t>
      </w:r>
      <w:r w:rsidR="002D2E68" w:rsidRPr="006A031A">
        <w:t xml:space="preserve">cash </w:t>
      </w:r>
      <w:proofErr w:type="spellStart"/>
      <w:r w:rsidR="002D2E68" w:rsidRPr="006A031A">
        <w:t>flow</w:t>
      </w:r>
      <w:proofErr w:type="spellEnd"/>
      <w:r w:rsidR="002D2E68" w:rsidRPr="006A031A">
        <w:t>.</w:t>
      </w:r>
      <w:r w:rsidR="00DD673D" w:rsidRPr="006A031A">
        <w:t xml:space="preserve"> Finanční prostředky</w:t>
      </w:r>
      <w:r w:rsidR="00E67C60" w:rsidRPr="006A031A">
        <w:t xml:space="preserve"> určené na zajištění předpokládaného finančního krytí plnění příplatku pro PMDP, a. s. od 1. 7. 2018 do 30. 6. 2019 jsou zapracovány v rámci ukazatele ostatní ka</w:t>
      </w:r>
      <w:r w:rsidR="0013753C">
        <w:t xml:space="preserve">pitálové výdaje </w:t>
      </w:r>
      <w:r w:rsidR="00E67C60" w:rsidRPr="006A031A">
        <w:t>tak</w:t>
      </w:r>
      <w:r w:rsidR="0013753C">
        <w:t>,</w:t>
      </w:r>
      <w:r w:rsidR="00E67C60" w:rsidRPr="006A031A">
        <w:t xml:space="preserve"> aby bylo možné navázat na úhrady příplatku v posunutém plnění. </w:t>
      </w:r>
    </w:p>
    <w:p w:rsidR="005F2300" w:rsidRPr="006A031A" w:rsidRDefault="005F2300" w:rsidP="00E67C60">
      <w:pPr>
        <w:pStyle w:val="Zkladntextodsazen"/>
        <w:ind w:left="1211" w:firstLine="0"/>
      </w:pPr>
    </w:p>
    <w:p w:rsidR="006D6C98" w:rsidRPr="006A031A" w:rsidRDefault="00DA0E93" w:rsidP="006D6C98">
      <w:pPr>
        <w:pStyle w:val="Paragrafneslovan"/>
      </w:pPr>
      <w:r w:rsidRPr="006A031A">
        <w:t>Smlouva o poskytnutí příplatku</w:t>
      </w:r>
      <w:r w:rsidR="00602AEB" w:rsidRPr="006A031A">
        <w:t>, která</w:t>
      </w:r>
      <w:r w:rsidRPr="006A031A">
        <w:t xml:space="preserve"> je</w:t>
      </w:r>
      <w:r w:rsidR="00602AEB" w:rsidRPr="006A031A">
        <w:t xml:space="preserve"> nyní</w:t>
      </w:r>
      <w:r w:rsidRPr="006A031A">
        <w:t xml:space="preserve"> před</w:t>
      </w:r>
      <w:r w:rsidR="00602AEB" w:rsidRPr="006A031A">
        <w:t>kládána</w:t>
      </w:r>
      <w:r w:rsidR="00B938DC" w:rsidRPr="006A031A">
        <w:t xml:space="preserve"> orgánům města, </w:t>
      </w:r>
      <w:r w:rsidR="00602AEB" w:rsidRPr="006A031A">
        <w:t xml:space="preserve">řeší </w:t>
      </w:r>
      <w:r w:rsidRPr="006A031A">
        <w:t>období od</w:t>
      </w:r>
      <w:r w:rsidR="0013753C">
        <w:br/>
        <w:t xml:space="preserve">1. 1. </w:t>
      </w:r>
      <w:r w:rsidRPr="006A031A">
        <w:t>2018 do 30. 6. 2018</w:t>
      </w:r>
      <w:r w:rsidR="00552D63" w:rsidRPr="006A031A">
        <w:t>. V</w:t>
      </w:r>
      <w:r w:rsidRPr="006A031A">
        <w:t>ýš</w:t>
      </w:r>
      <w:r w:rsidR="00552D63" w:rsidRPr="006A031A">
        <w:t xml:space="preserve">e </w:t>
      </w:r>
      <w:r w:rsidRPr="006A031A">
        <w:t>příplatku</w:t>
      </w:r>
      <w:r w:rsidR="00552D63" w:rsidRPr="006A031A">
        <w:t xml:space="preserve"> činí celkově 55 377 780 Kč</w:t>
      </w:r>
      <w:r w:rsidR="00B938DC" w:rsidRPr="006A031A">
        <w:t xml:space="preserve">, </w:t>
      </w:r>
      <w:r w:rsidR="006D6C98" w:rsidRPr="006A031A">
        <w:t>kdy dvě čtvrtletní platby využije společnost PMDP, a.s. (48 088 524 Kč) na úhradu</w:t>
      </w:r>
      <w:r w:rsidR="006D6C98" w:rsidRPr="006A031A">
        <w:rPr>
          <w:szCs w:val="24"/>
        </w:rPr>
        <w:t xml:space="preserve"> měsíčních záloh spojených s odkupem technické infrastruktury a to v souladu s podmínkami Projektové smlouvy. Částka 7 289 256 Kč pak činí náhradu za odvedené DPH společností PMDP, a.s. za prodej pozemku</w:t>
      </w:r>
      <w:r w:rsidR="00B938DC" w:rsidRPr="006A031A">
        <w:rPr>
          <w:szCs w:val="24"/>
        </w:rPr>
        <w:t xml:space="preserve"> </w:t>
      </w:r>
      <w:r w:rsidR="006A031A" w:rsidRPr="006A031A">
        <w:rPr>
          <w:szCs w:val="24"/>
        </w:rPr>
        <w:t>z majetku města Plzně.</w:t>
      </w:r>
      <w:r w:rsidR="005C58DB" w:rsidRPr="006A031A">
        <w:rPr>
          <w:szCs w:val="24"/>
        </w:rPr>
        <w:t xml:space="preserve"> Povinnost odvodu DPH vznikla změnou výkladu Finančního ředitelství Plzeň, kdy </w:t>
      </w:r>
      <w:r w:rsidR="00FB2357" w:rsidRPr="006A031A">
        <w:rPr>
          <w:szCs w:val="24"/>
        </w:rPr>
        <w:t xml:space="preserve">o </w:t>
      </w:r>
      <w:r w:rsidR="005C58DB" w:rsidRPr="006A031A">
        <w:rPr>
          <w:szCs w:val="24"/>
        </w:rPr>
        <w:t>zdanění DPH nerozhoduje určení pozemku v katastru nem</w:t>
      </w:r>
      <w:r w:rsidR="009D61B6" w:rsidRPr="006A031A">
        <w:rPr>
          <w:szCs w:val="24"/>
        </w:rPr>
        <w:t>ovitostí, ale samotný Úze</w:t>
      </w:r>
      <w:r w:rsidR="005C58DB" w:rsidRPr="006A031A">
        <w:rPr>
          <w:szCs w:val="24"/>
        </w:rPr>
        <w:t>mn</w:t>
      </w:r>
      <w:r w:rsidR="00DD673D" w:rsidRPr="006A031A">
        <w:rPr>
          <w:szCs w:val="24"/>
        </w:rPr>
        <w:t>í</w:t>
      </w:r>
      <w:r w:rsidR="005C58DB" w:rsidRPr="006A031A">
        <w:rPr>
          <w:szCs w:val="24"/>
        </w:rPr>
        <w:t xml:space="preserve"> plán města.</w:t>
      </w:r>
    </w:p>
    <w:p w:rsidR="00530646" w:rsidRDefault="00530646" w:rsidP="00DA0E93">
      <w:pPr>
        <w:jc w:val="both"/>
        <w:rPr>
          <w:highlight w:val="yellow"/>
        </w:rPr>
      </w:pPr>
    </w:p>
    <w:p w:rsidR="00067290" w:rsidRDefault="00067290" w:rsidP="00067290">
      <w:pPr>
        <w:rPr>
          <w:szCs w:val="20"/>
        </w:rPr>
      </w:pPr>
    </w:p>
    <w:p w:rsidR="008E4B6A" w:rsidRDefault="008E4B6A" w:rsidP="00067290">
      <w:pPr>
        <w:rPr>
          <w:szCs w:val="20"/>
        </w:rPr>
      </w:pPr>
    </w:p>
    <w:p w:rsidR="008E33EB" w:rsidRPr="00067290" w:rsidRDefault="008E33EB" w:rsidP="00067290">
      <w:pPr>
        <w:rPr>
          <w:szCs w:val="20"/>
        </w:rPr>
      </w:pPr>
      <w:r w:rsidRPr="00067290">
        <w:rPr>
          <w:szCs w:val="20"/>
        </w:rPr>
        <w:t>Materiál byl zároveň předložen na jednání Finanční</w:t>
      </w:r>
      <w:r w:rsidR="00803B08">
        <w:rPr>
          <w:szCs w:val="20"/>
        </w:rPr>
        <w:t>ho výboru Z</w:t>
      </w:r>
      <w:r w:rsidRPr="00067290">
        <w:rPr>
          <w:szCs w:val="20"/>
        </w:rPr>
        <w:t xml:space="preserve">MP dne </w:t>
      </w:r>
      <w:r w:rsidR="00803B08">
        <w:rPr>
          <w:szCs w:val="20"/>
        </w:rPr>
        <w:t>11</w:t>
      </w:r>
      <w:r w:rsidRPr="00067290">
        <w:rPr>
          <w:szCs w:val="20"/>
        </w:rPr>
        <w:t>. 1</w:t>
      </w:r>
      <w:r w:rsidR="00803B08">
        <w:rPr>
          <w:szCs w:val="20"/>
        </w:rPr>
        <w:t>2</w:t>
      </w:r>
      <w:r w:rsidRPr="00067290">
        <w:rPr>
          <w:szCs w:val="20"/>
        </w:rPr>
        <w:t>. 201</w:t>
      </w:r>
      <w:r w:rsidR="00DA0E93">
        <w:rPr>
          <w:szCs w:val="20"/>
        </w:rPr>
        <w:t>7</w:t>
      </w:r>
      <w:r w:rsidRPr="00067290">
        <w:rPr>
          <w:szCs w:val="20"/>
        </w:rPr>
        <w:t>.</w:t>
      </w:r>
    </w:p>
    <w:p w:rsidR="00067290" w:rsidRDefault="00067290" w:rsidP="008E33EB">
      <w:pPr>
        <w:pStyle w:val="Odstavecseseznamem"/>
        <w:ind w:left="360"/>
        <w:rPr>
          <w:rFonts w:ascii="Times New Roman" w:eastAsia="Times New Roman" w:hAnsi="Times New Roman"/>
          <w:sz w:val="24"/>
          <w:szCs w:val="20"/>
          <w:u w:val="single"/>
          <w:lang w:eastAsia="cs-CZ"/>
        </w:rPr>
      </w:pPr>
    </w:p>
    <w:p w:rsidR="00067290" w:rsidRPr="00577418" w:rsidRDefault="00067290" w:rsidP="008E33EB">
      <w:pPr>
        <w:pStyle w:val="Odstavecseseznamem"/>
        <w:ind w:left="360"/>
        <w:rPr>
          <w:rFonts w:ascii="Times New Roman" w:eastAsia="Times New Roman" w:hAnsi="Times New Roman"/>
          <w:sz w:val="24"/>
          <w:szCs w:val="20"/>
          <w:u w:val="single"/>
          <w:lang w:eastAsia="cs-CZ"/>
        </w:rPr>
      </w:pPr>
    </w:p>
    <w:p w:rsidR="00A111BF" w:rsidRDefault="00A111BF">
      <w:pPr>
        <w:pStyle w:val="ostzahl"/>
        <w:numPr>
          <w:ilvl w:val="0"/>
          <w:numId w:val="0"/>
        </w:numPr>
      </w:pPr>
      <w:r>
        <w:t>3. Předpokládaný cílový stav</w:t>
      </w:r>
    </w:p>
    <w:p w:rsidR="008D7966" w:rsidRDefault="00A111BF" w:rsidP="00C91633">
      <w:pPr>
        <w:pStyle w:val="vlevo"/>
      </w:pPr>
      <w:r>
        <w:t>Schválit rozpočet na rok 20</w:t>
      </w:r>
      <w:r w:rsidR="009801D1">
        <w:t>1</w:t>
      </w:r>
      <w:r w:rsidR="00530646">
        <w:t>8</w:t>
      </w:r>
      <w:r>
        <w:t xml:space="preserve"> včetn</w:t>
      </w:r>
      <w:r w:rsidR="00A95CBC">
        <w:t>ě rozpočtového výhledu sestavený</w:t>
      </w:r>
      <w:r>
        <w:t>m na roky 201</w:t>
      </w:r>
      <w:r w:rsidR="00530646">
        <w:t>9</w:t>
      </w:r>
      <w:r w:rsidR="00D851D1">
        <w:t xml:space="preserve"> </w:t>
      </w:r>
      <w:r>
        <w:t>-</w:t>
      </w:r>
      <w:r w:rsidR="00D851D1">
        <w:t xml:space="preserve"> </w:t>
      </w:r>
      <w:r>
        <w:t>20</w:t>
      </w:r>
      <w:r w:rsidR="00967831">
        <w:t>2</w:t>
      </w:r>
      <w:r w:rsidR="00530646">
        <w:t>1</w:t>
      </w:r>
      <w:r>
        <w:t>.</w:t>
      </w:r>
    </w:p>
    <w:p w:rsidR="00967831" w:rsidRDefault="00967831" w:rsidP="00C91633">
      <w:pPr>
        <w:pStyle w:val="vlevo"/>
      </w:pPr>
    </w:p>
    <w:p w:rsidR="00A111BF" w:rsidRDefault="00A111BF">
      <w:pPr>
        <w:pStyle w:val="ostzahl"/>
        <w:numPr>
          <w:ilvl w:val="0"/>
          <w:numId w:val="11"/>
        </w:numPr>
      </w:pPr>
      <w:r>
        <w:t>Navrhované varianty řešení</w:t>
      </w:r>
    </w:p>
    <w:p w:rsidR="00A111BF" w:rsidRDefault="00A111BF" w:rsidP="00C91633">
      <w:pPr>
        <w:pStyle w:val="vlevo"/>
      </w:pPr>
      <w:r>
        <w:t>Navrhovaná varianta je jediná.</w:t>
      </w:r>
    </w:p>
    <w:p w:rsidR="008D7966" w:rsidRDefault="008D7966" w:rsidP="00C91633">
      <w:pPr>
        <w:pStyle w:val="vlevo"/>
      </w:pPr>
    </w:p>
    <w:p w:rsidR="00A111BF" w:rsidRDefault="00A111BF">
      <w:pPr>
        <w:pStyle w:val="ostzahl"/>
        <w:numPr>
          <w:ilvl w:val="0"/>
          <w:numId w:val="11"/>
        </w:numPr>
      </w:pPr>
      <w:r>
        <w:t>Doporučená varianta řešení</w:t>
      </w:r>
    </w:p>
    <w:p w:rsidR="00A111BF" w:rsidRDefault="00A95CBC" w:rsidP="00C91633">
      <w:pPr>
        <w:pStyle w:val="vlevo"/>
      </w:pPr>
      <w:r>
        <w:t xml:space="preserve">Dle bodu II </w:t>
      </w:r>
      <w:r w:rsidR="00A111BF">
        <w:t>návrhu usnesení.</w:t>
      </w:r>
    </w:p>
    <w:p w:rsidR="00AF33F4" w:rsidRDefault="00AF33F4" w:rsidP="00C91633">
      <w:pPr>
        <w:pStyle w:val="vlevo"/>
      </w:pPr>
    </w:p>
    <w:p w:rsidR="00A111BF" w:rsidRDefault="00A111BF">
      <w:pPr>
        <w:pStyle w:val="ostzahl"/>
        <w:numPr>
          <w:ilvl w:val="0"/>
          <w:numId w:val="11"/>
        </w:numPr>
      </w:pPr>
      <w:r>
        <w:t>Finanční nároky řešení a možnosti finančního krytí</w:t>
      </w:r>
    </w:p>
    <w:p w:rsidR="00A111BF" w:rsidRDefault="00A111BF" w:rsidP="00C91633">
      <w:pPr>
        <w:pStyle w:val="vlevo"/>
      </w:pPr>
      <w:r>
        <w:t>Nejsou.</w:t>
      </w:r>
    </w:p>
    <w:p w:rsidR="00967831" w:rsidRDefault="00967831" w:rsidP="00C91633">
      <w:pPr>
        <w:pStyle w:val="vlevo"/>
      </w:pPr>
    </w:p>
    <w:p w:rsidR="00A111BF" w:rsidRDefault="00A111BF">
      <w:pPr>
        <w:pStyle w:val="ostzahl"/>
      </w:pPr>
      <w:r>
        <w:t>Návrh termínů realizace a určení zodpovědných pracovníků</w:t>
      </w:r>
    </w:p>
    <w:p w:rsidR="00D02C05" w:rsidRDefault="00A111BF" w:rsidP="00C91633">
      <w:pPr>
        <w:pStyle w:val="vlevo"/>
      </w:pPr>
      <w:r>
        <w:t xml:space="preserve">Dle bodu </w:t>
      </w:r>
      <w:r w:rsidR="00075596">
        <w:t>I</w:t>
      </w:r>
      <w:r w:rsidR="00A95CBC">
        <w:t>V</w:t>
      </w:r>
      <w:r>
        <w:t xml:space="preserve"> návrhu usnesení.</w:t>
      </w:r>
    </w:p>
    <w:p w:rsidR="008D7966" w:rsidRDefault="008D7966" w:rsidP="00C91633">
      <w:pPr>
        <w:pStyle w:val="vlevo"/>
      </w:pPr>
    </w:p>
    <w:p w:rsidR="00A111BF" w:rsidRDefault="00A111BF">
      <w:pPr>
        <w:pStyle w:val="ostzahl"/>
      </w:pPr>
      <w:r>
        <w:t>Dříve přijatá usnesení orgánů města nebo městských obvodů, která s tímto návrhem souvisejí</w:t>
      </w:r>
    </w:p>
    <w:p w:rsidR="005522B5" w:rsidRDefault="003C7C8B" w:rsidP="00C91633">
      <w:pPr>
        <w:pStyle w:val="vlevo"/>
      </w:pPr>
      <w:r>
        <w:t>Usnesení Z</w:t>
      </w:r>
      <w:r w:rsidR="005522B5">
        <w:t xml:space="preserve">MP č. </w:t>
      </w:r>
      <w:r w:rsidR="00530646">
        <w:t>509</w:t>
      </w:r>
      <w:r w:rsidR="002C5703">
        <w:t xml:space="preserve"> ze dne </w:t>
      </w:r>
      <w:r w:rsidR="00530646">
        <w:t>9</w:t>
      </w:r>
      <w:r w:rsidR="00144DE6">
        <w:t>.</w:t>
      </w:r>
      <w:r w:rsidR="00C16E00">
        <w:t xml:space="preserve"> </w:t>
      </w:r>
      <w:r>
        <w:t>11</w:t>
      </w:r>
      <w:r w:rsidR="00D851D1">
        <w:t>.</w:t>
      </w:r>
      <w:r w:rsidR="00C16E00">
        <w:t xml:space="preserve"> </w:t>
      </w:r>
      <w:r w:rsidR="00144DE6">
        <w:t>201</w:t>
      </w:r>
      <w:r w:rsidR="00530646">
        <w:t>7</w:t>
      </w:r>
    </w:p>
    <w:p w:rsidR="00761399" w:rsidRDefault="00761399" w:rsidP="00C91633">
      <w:pPr>
        <w:pStyle w:val="vlevo"/>
      </w:pPr>
      <w:r>
        <w:t>Usnesení ZMP č. 416 ze dne 1. 9. 2011</w:t>
      </w:r>
    </w:p>
    <w:p w:rsidR="009A18FE" w:rsidRDefault="009A18FE" w:rsidP="00C91633">
      <w:pPr>
        <w:pStyle w:val="vlevo"/>
      </w:pPr>
      <w:r>
        <w:t>Usnesení ZMP č. 181 ze dne 26. 4. 2012</w:t>
      </w:r>
    </w:p>
    <w:p w:rsidR="003C7C8B" w:rsidRDefault="003C7C8B" w:rsidP="00C91633">
      <w:pPr>
        <w:pStyle w:val="vlevo"/>
      </w:pPr>
    </w:p>
    <w:p w:rsidR="00A111BF" w:rsidRDefault="00A111BF">
      <w:pPr>
        <w:pStyle w:val="ostzahl"/>
      </w:pPr>
      <w:r>
        <w:t>Závazky či pohledávky vůči městu</w:t>
      </w:r>
    </w:p>
    <w:p w:rsidR="00A111BF" w:rsidRDefault="00A111BF" w:rsidP="00C91633">
      <w:pPr>
        <w:pStyle w:val="vlevo"/>
      </w:pPr>
      <w:r>
        <w:t>Nešetří se.</w:t>
      </w:r>
    </w:p>
    <w:p w:rsidR="00D851D1" w:rsidRDefault="00D851D1" w:rsidP="00C91633">
      <w:pPr>
        <w:pStyle w:val="vlevo"/>
      </w:pPr>
    </w:p>
    <w:p w:rsidR="00A111BF" w:rsidRDefault="00983986" w:rsidP="00983986">
      <w:pPr>
        <w:pStyle w:val="ostzahl"/>
      </w:pPr>
      <w:r>
        <w:t>Přílohy</w:t>
      </w:r>
    </w:p>
    <w:p w:rsidR="00A111BF" w:rsidRDefault="00CE2DD9" w:rsidP="00C91633">
      <w:pPr>
        <w:pStyle w:val="vlevo"/>
      </w:pPr>
      <w:r>
        <w:t>Příloha č. 1</w:t>
      </w:r>
      <w:r w:rsidR="00837D36">
        <w:t xml:space="preserve"> </w:t>
      </w:r>
      <w:r w:rsidR="00A111BF">
        <w:t>– Rozpočet na rok 20</w:t>
      </w:r>
      <w:r w:rsidR="009F42FD">
        <w:t>1</w:t>
      </w:r>
      <w:r w:rsidR="00530646">
        <w:t>8</w:t>
      </w:r>
      <w:r w:rsidR="00A111BF">
        <w:t xml:space="preserve"> </w:t>
      </w:r>
      <w:r w:rsidR="00530646">
        <w:t>a střednědobý výhled rozpočtu</w:t>
      </w:r>
      <w:r w:rsidR="00A111BF">
        <w:t xml:space="preserve"> v letech 201</w:t>
      </w:r>
      <w:r w:rsidR="00530646">
        <w:t>9</w:t>
      </w:r>
      <w:r w:rsidR="00D851D1">
        <w:t xml:space="preserve"> </w:t>
      </w:r>
      <w:r w:rsidR="00A111BF">
        <w:t>-</w:t>
      </w:r>
      <w:r w:rsidR="00D851D1">
        <w:t xml:space="preserve"> </w:t>
      </w:r>
      <w:r w:rsidR="00A111BF">
        <w:t>20</w:t>
      </w:r>
      <w:r w:rsidR="00D01768">
        <w:t>2</w:t>
      </w:r>
      <w:r w:rsidR="00530646">
        <w:t>1</w:t>
      </w:r>
    </w:p>
    <w:p w:rsidR="00C91633" w:rsidRDefault="002C5703" w:rsidP="00C91633">
      <w:pPr>
        <w:pStyle w:val="vlevo"/>
      </w:pPr>
      <w:r>
        <w:t xml:space="preserve">Příloha č. </w:t>
      </w:r>
      <w:r w:rsidR="00530646">
        <w:t>2</w:t>
      </w:r>
      <w:r w:rsidR="000532D5">
        <w:t xml:space="preserve"> </w:t>
      </w:r>
      <w:r w:rsidR="00596190" w:rsidRPr="003377C3">
        <w:t>–</w:t>
      </w:r>
      <w:r w:rsidR="00596190" w:rsidRPr="003377C3">
        <w:tab/>
      </w:r>
      <w:r w:rsidR="00C91633">
        <w:t xml:space="preserve"> </w:t>
      </w:r>
      <w:r w:rsidR="0024223C" w:rsidRPr="003377C3">
        <w:t xml:space="preserve">Aktualizovaný </w:t>
      </w:r>
      <w:r w:rsidR="00050EA4">
        <w:t>d</w:t>
      </w:r>
      <w:r w:rsidR="009C3DB7" w:rsidRPr="003377C3">
        <w:t xml:space="preserve">okument „Strategické záměry rozvoje města“ s vyznačením </w:t>
      </w:r>
      <w:r w:rsidR="00050EA4">
        <w:t>akcí</w:t>
      </w:r>
      <w:r w:rsidR="009C3DB7" w:rsidRPr="003377C3">
        <w:t xml:space="preserve"> </w:t>
      </w:r>
    </w:p>
    <w:p w:rsidR="009C3DB7" w:rsidRDefault="009C3DB7" w:rsidP="00C91633">
      <w:pPr>
        <w:pStyle w:val="vlevo"/>
      </w:pPr>
      <w:r w:rsidRPr="003377C3">
        <w:t>zařazených v rámci návrhu rozpočtu města Plzně na rok 201</w:t>
      </w:r>
      <w:r w:rsidR="00530646">
        <w:t>8</w:t>
      </w:r>
      <w:r w:rsidRPr="003377C3">
        <w:t xml:space="preserve">, příp. </w:t>
      </w:r>
      <w:r w:rsidR="00596190" w:rsidRPr="003377C3">
        <w:tab/>
      </w:r>
      <w:r w:rsidR="00530646">
        <w:t xml:space="preserve">střednědobého </w:t>
      </w:r>
      <w:r w:rsidRPr="003377C3">
        <w:t>výhledu</w:t>
      </w:r>
      <w:r w:rsidR="00530646">
        <w:t xml:space="preserve"> rozpočtu</w:t>
      </w:r>
      <w:r w:rsidR="00C91633">
        <w:t>.</w:t>
      </w:r>
    </w:p>
    <w:p w:rsidR="00C91633" w:rsidRDefault="007D0304" w:rsidP="00C91633">
      <w:pPr>
        <w:pStyle w:val="vlevo"/>
      </w:pPr>
      <w:r>
        <w:t xml:space="preserve">Příloha č. </w:t>
      </w:r>
      <w:r w:rsidR="00C91633">
        <w:t>3</w:t>
      </w:r>
      <w:r w:rsidR="00837D36">
        <w:t xml:space="preserve"> </w:t>
      </w:r>
      <w:r w:rsidR="00710460" w:rsidRPr="00710460">
        <w:t>–</w:t>
      </w:r>
      <w:r w:rsidR="00C91633">
        <w:t xml:space="preserve"> </w:t>
      </w:r>
      <w:r w:rsidR="00761399">
        <w:t>U</w:t>
      </w:r>
      <w:r w:rsidR="00A374D6">
        <w:t xml:space="preserve">snesení ZMP č. </w:t>
      </w:r>
      <w:r w:rsidR="003C7C8B">
        <w:t>5</w:t>
      </w:r>
      <w:r w:rsidR="00530646">
        <w:t>09</w:t>
      </w:r>
      <w:r w:rsidR="003A7F8D">
        <w:t xml:space="preserve"> ze dne </w:t>
      </w:r>
      <w:r w:rsidR="00530646">
        <w:t>9</w:t>
      </w:r>
      <w:r w:rsidR="00C71172">
        <w:t>.</w:t>
      </w:r>
      <w:r w:rsidR="003A7F8D">
        <w:t xml:space="preserve"> </w:t>
      </w:r>
      <w:r w:rsidR="003C7C8B">
        <w:t>11</w:t>
      </w:r>
      <w:r w:rsidR="00C71172">
        <w:t>.</w:t>
      </w:r>
      <w:r w:rsidR="003A7F8D">
        <w:t xml:space="preserve"> </w:t>
      </w:r>
      <w:r w:rsidR="00C71172">
        <w:t>201</w:t>
      </w:r>
      <w:r w:rsidR="00530646">
        <w:t>7</w:t>
      </w:r>
      <w:r w:rsidR="00C71172">
        <w:t xml:space="preserve">, kterým byl schválen finanční vztah </w:t>
      </w:r>
      <w:r w:rsidR="00CE2DD9">
        <w:tab/>
      </w:r>
      <w:r w:rsidR="00C71172">
        <w:t>rozpočtu</w:t>
      </w:r>
    </w:p>
    <w:p w:rsidR="00530646" w:rsidRDefault="00C71172" w:rsidP="00C91633">
      <w:pPr>
        <w:pStyle w:val="vlevo"/>
      </w:pPr>
      <w:r>
        <w:t>města k městským obvodům pro rok 201</w:t>
      </w:r>
      <w:r w:rsidR="00530646">
        <w:t>8</w:t>
      </w:r>
      <w:r w:rsidR="003A7F8D">
        <w:t xml:space="preserve"> a </w:t>
      </w:r>
      <w:r w:rsidR="00530646">
        <w:t xml:space="preserve">střednědobý výhled rozpočtu v letech 2019 – </w:t>
      </w:r>
      <w:r w:rsidR="00C91633">
        <w:t>2</w:t>
      </w:r>
      <w:r w:rsidR="00530646">
        <w:t>021</w:t>
      </w:r>
    </w:p>
    <w:p w:rsidR="00482153" w:rsidRDefault="00482153" w:rsidP="00C91633">
      <w:pPr>
        <w:pStyle w:val="vlevo"/>
      </w:pPr>
      <w:r>
        <w:t xml:space="preserve">Příloha č. </w:t>
      </w:r>
      <w:r w:rsidR="00EA1A46">
        <w:t>4</w:t>
      </w:r>
      <w:r>
        <w:t xml:space="preserve"> </w:t>
      </w:r>
      <w:r w:rsidR="00837D36">
        <w:t>–</w:t>
      </w:r>
      <w:r>
        <w:t xml:space="preserve"> </w:t>
      </w:r>
      <w:r w:rsidR="00D01768">
        <w:t>Dlouhodobý finanční plán v letech 202</w:t>
      </w:r>
      <w:r w:rsidR="007B3B86">
        <w:t>2</w:t>
      </w:r>
      <w:r w:rsidR="00D01768">
        <w:t xml:space="preserve"> - 202</w:t>
      </w:r>
      <w:r w:rsidR="007B3B86">
        <w:t>8</w:t>
      </w:r>
      <w:r w:rsidR="00D01768">
        <w:t xml:space="preserve"> vztahující se k rozpočtu MMP </w:t>
      </w:r>
    </w:p>
    <w:p w:rsidR="005618BB" w:rsidRDefault="008D1A7B" w:rsidP="00C91633">
      <w:pPr>
        <w:pStyle w:val="vlevo"/>
      </w:pPr>
      <w:r>
        <w:t xml:space="preserve">Příloha </w:t>
      </w:r>
      <w:r w:rsidR="00482153" w:rsidRPr="00837D36">
        <w:t>č.</w:t>
      </w:r>
      <w:r w:rsidR="00530646">
        <w:t xml:space="preserve"> </w:t>
      </w:r>
      <w:r w:rsidR="00EA1A46">
        <w:t>5</w:t>
      </w:r>
      <w:r w:rsidR="00C91633">
        <w:t xml:space="preserve"> – </w:t>
      </w:r>
      <w:r w:rsidR="00D01768" w:rsidRPr="00837D36">
        <w:t>Návrh smlouvy o poskytnutí příplatku k základnímu kapitálu</w:t>
      </w:r>
      <w:r w:rsidR="00837D36" w:rsidRPr="00837D36">
        <w:t xml:space="preserve"> vč. s</w:t>
      </w:r>
      <w:r w:rsidR="00D01768" w:rsidRPr="00837D36">
        <w:t>ouhlasu představenstva PMDP, a.s. s poskytnutím příplatku k základnímu kapitálu</w:t>
      </w:r>
    </w:p>
    <w:p w:rsidR="008E4B6A" w:rsidRPr="00837D36" w:rsidRDefault="008E4B6A" w:rsidP="00C91633">
      <w:pPr>
        <w:pStyle w:val="vlevo"/>
      </w:pPr>
      <w:r>
        <w:t xml:space="preserve">Příloha č. 6 – Finanční vztah </w:t>
      </w:r>
      <w:r w:rsidR="005618BB">
        <w:t>–</w:t>
      </w:r>
      <w:r>
        <w:t xml:space="preserve"> srovnání</w:t>
      </w:r>
    </w:p>
    <w:p w:rsidR="00DC5BF9" w:rsidRDefault="00466EA5" w:rsidP="00B46D4A">
      <w:pPr>
        <w:pStyle w:val="vlevo"/>
      </w:pPr>
      <w:r>
        <w:t xml:space="preserve">Příloha č. </w:t>
      </w:r>
      <w:r w:rsidR="008E4B6A">
        <w:t>7</w:t>
      </w:r>
      <w:r>
        <w:t xml:space="preserve"> – </w:t>
      </w:r>
      <w:r w:rsidR="00DC5BF9">
        <w:t>Usnesení RMP č. 1306 ze dne 30. 11. 2017</w:t>
      </w:r>
    </w:p>
    <w:p w:rsidR="00B46D4A" w:rsidRPr="00837D36" w:rsidRDefault="00DC5BF9" w:rsidP="00B46D4A">
      <w:pPr>
        <w:pStyle w:val="vlevo"/>
      </w:pPr>
      <w:r>
        <w:t xml:space="preserve">Příloha č. 8 - </w:t>
      </w:r>
      <w:r w:rsidR="00466EA5">
        <w:t>Usnesení Finanční</w:t>
      </w:r>
      <w:r w:rsidR="00803B08">
        <w:t>ho</w:t>
      </w:r>
      <w:r w:rsidR="00466EA5">
        <w:t xml:space="preserve"> </w:t>
      </w:r>
      <w:r w:rsidR="00803B08">
        <w:t xml:space="preserve">výboru </w:t>
      </w:r>
      <w:r w:rsidR="00466EA5">
        <w:t xml:space="preserve"> </w:t>
      </w:r>
      <w:r w:rsidR="00803B08">
        <w:t>Z</w:t>
      </w:r>
      <w:r w:rsidR="00466EA5">
        <w:t xml:space="preserve">MP </w:t>
      </w:r>
      <w:r w:rsidR="00803B08">
        <w:t xml:space="preserve"> </w:t>
      </w:r>
      <w:r w:rsidR="00C91633">
        <w:t>(</w:t>
      </w:r>
      <w:r w:rsidR="00803B08">
        <w:t>bude předloženo na stůl</w:t>
      </w:r>
      <w:r w:rsidR="00C91633">
        <w:t>)</w:t>
      </w:r>
      <w:r w:rsidR="00B46D4A">
        <w:t xml:space="preserve"> </w:t>
      </w:r>
    </w:p>
    <w:p w:rsidR="00841640" w:rsidRDefault="00841640" w:rsidP="00C91633">
      <w:pPr>
        <w:pStyle w:val="vlevo"/>
      </w:pPr>
      <w:bookmarkStart w:id="0" w:name="_GoBack"/>
      <w:bookmarkEnd w:id="0"/>
    </w:p>
    <w:sectPr w:rsidR="0084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D1D"/>
    <w:multiLevelType w:val="hybridMultilevel"/>
    <w:tmpl w:val="985C82FE"/>
    <w:lvl w:ilvl="0" w:tplc="650CE9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1AD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8155F"/>
    <w:multiLevelType w:val="hybridMultilevel"/>
    <w:tmpl w:val="D2E2C764"/>
    <w:lvl w:ilvl="0" w:tplc="EBA841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2C07"/>
    <w:multiLevelType w:val="hybridMultilevel"/>
    <w:tmpl w:val="E954FA7C"/>
    <w:lvl w:ilvl="0" w:tplc="582863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52E16"/>
    <w:multiLevelType w:val="hybridMultilevel"/>
    <w:tmpl w:val="42FE999E"/>
    <w:lvl w:ilvl="0" w:tplc="A662717C">
      <w:start w:val="2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AC0245D"/>
    <w:multiLevelType w:val="multilevel"/>
    <w:tmpl w:val="2BFA79FC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74"/>
        </w:tabs>
        <w:ind w:left="674" w:hanging="4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3.1.1"/>
      <w:lvlJc w:val="left"/>
      <w:pPr>
        <w:tabs>
          <w:tab w:val="num" w:pos="1077"/>
        </w:tabs>
        <w:ind w:left="720" w:hanging="363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II.4.%4"/>
      <w:lvlJc w:val="left"/>
      <w:pPr>
        <w:tabs>
          <w:tab w:val="num" w:pos="2267"/>
        </w:tabs>
        <w:ind w:left="2267" w:hanging="567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203"/>
        </w:tabs>
        <w:ind w:left="1985" w:hanging="142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001"/>
        </w:tabs>
        <w:ind w:left="200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5"/>
        </w:tabs>
        <w:ind w:left="214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9"/>
        </w:tabs>
        <w:ind w:left="22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3"/>
        </w:tabs>
        <w:ind w:left="2433" w:hanging="1584"/>
      </w:pPr>
      <w:rPr>
        <w:rFonts w:cs="Times New Roman" w:hint="default"/>
      </w:rPr>
    </w:lvl>
  </w:abstractNum>
  <w:abstractNum w:abstractNumId="5">
    <w:nsid w:val="0C75224A"/>
    <w:multiLevelType w:val="hybridMultilevel"/>
    <w:tmpl w:val="7C7403AA"/>
    <w:lvl w:ilvl="0" w:tplc="CA7CB050">
      <w:start w:val="1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A3641"/>
    <w:multiLevelType w:val="singleLevel"/>
    <w:tmpl w:val="F32A4C1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491FB1"/>
    <w:multiLevelType w:val="hybridMultilevel"/>
    <w:tmpl w:val="EAB48526"/>
    <w:lvl w:ilvl="0" w:tplc="F4AA9EEA">
      <w:start w:val="6"/>
      <w:numFmt w:val="bullet"/>
      <w:lvlText w:val="-"/>
      <w:lvlJc w:val="left"/>
      <w:pPr>
        <w:tabs>
          <w:tab w:val="num" w:pos="6390"/>
        </w:tabs>
        <w:ind w:left="6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8">
    <w:nsid w:val="18761B80"/>
    <w:multiLevelType w:val="hybridMultilevel"/>
    <w:tmpl w:val="DDA46B60"/>
    <w:lvl w:ilvl="0" w:tplc="582863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04FED"/>
    <w:multiLevelType w:val="hybridMultilevel"/>
    <w:tmpl w:val="D4BA8EB6"/>
    <w:lvl w:ilvl="0" w:tplc="92E4CA34">
      <w:start w:val="1"/>
      <w:numFmt w:val="bullet"/>
      <w:lvlText w:val=""/>
      <w:lvlJc w:val="left"/>
      <w:pPr>
        <w:tabs>
          <w:tab w:val="num" w:pos="1211"/>
        </w:tabs>
        <w:ind w:left="1211" w:hanging="426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10916F6"/>
    <w:multiLevelType w:val="hybridMultilevel"/>
    <w:tmpl w:val="D444B4E4"/>
    <w:lvl w:ilvl="0" w:tplc="8CA079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A3C77"/>
    <w:multiLevelType w:val="hybridMultilevel"/>
    <w:tmpl w:val="70C4A078"/>
    <w:lvl w:ilvl="0" w:tplc="9A80CECE">
      <w:start w:val="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>
    <w:nsid w:val="27644FA6"/>
    <w:multiLevelType w:val="hybridMultilevel"/>
    <w:tmpl w:val="C052BE2E"/>
    <w:lvl w:ilvl="0" w:tplc="6226D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54CD1"/>
    <w:multiLevelType w:val="hybridMultilevel"/>
    <w:tmpl w:val="FDEE50C4"/>
    <w:lvl w:ilvl="0" w:tplc="B2CE006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02A6601"/>
    <w:multiLevelType w:val="hybridMultilevel"/>
    <w:tmpl w:val="E31EAAC2"/>
    <w:lvl w:ilvl="0" w:tplc="3EE672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3152DA"/>
    <w:multiLevelType w:val="hybridMultilevel"/>
    <w:tmpl w:val="EE1AF76A"/>
    <w:lvl w:ilvl="0" w:tplc="01B83BF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091DA6"/>
    <w:multiLevelType w:val="hybridMultilevel"/>
    <w:tmpl w:val="DDA46B60"/>
    <w:lvl w:ilvl="0" w:tplc="582863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6C3FE1"/>
    <w:multiLevelType w:val="hybridMultilevel"/>
    <w:tmpl w:val="DDA46B60"/>
    <w:lvl w:ilvl="0" w:tplc="582863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  <w:lvlOverride w:ilvl="0">
      <w:startOverride w:val="4"/>
    </w:lvlOverride>
  </w:num>
  <w:num w:numId="12">
    <w:abstractNumId w:val="5"/>
  </w:num>
  <w:num w:numId="13">
    <w:abstractNumId w:val="15"/>
  </w:num>
  <w:num w:numId="14">
    <w:abstractNumId w:val="7"/>
  </w:num>
  <w:num w:numId="15">
    <w:abstractNumId w:val="11"/>
  </w:num>
  <w:num w:numId="16">
    <w:abstractNumId w:val="12"/>
  </w:num>
  <w:num w:numId="17">
    <w:abstractNumId w:val="3"/>
  </w:num>
  <w:num w:numId="18">
    <w:abstractNumId w:val="6"/>
  </w:num>
  <w:num w:numId="19">
    <w:abstractNumId w:val="16"/>
  </w:num>
  <w:num w:numId="20">
    <w:abstractNumId w:val="17"/>
  </w:num>
  <w:num w:numId="21">
    <w:abstractNumId w:val="8"/>
  </w:num>
  <w:num w:numId="22">
    <w:abstractNumId w:val="2"/>
  </w:num>
  <w:num w:numId="23">
    <w:abstractNumId w:val="13"/>
  </w:num>
  <w:num w:numId="24">
    <w:abstractNumId w:val="10"/>
  </w:num>
  <w:num w:numId="25">
    <w:abstractNumId w:val="1"/>
  </w:num>
  <w:num w:numId="26">
    <w:abstractNumId w:val="4"/>
  </w:num>
  <w:num w:numId="27">
    <w:abstractNumId w:val="9"/>
  </w:num>
  <w:num w:numId="28">
    <w:abstractNumId w:val="0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3D"/>
    <w:rsid w:val="00001E5D"/>
    <w:rsid w:val="000111EB"/>
    <w:rsid w:val="00014639"/>
    <w:rsid w:val="000216BA"/>
    <w:rsid w:val="00025694"/>
    <w:rsid w:val="00025A0B"/>
    <w:rsid w:val="00033A5A"/>
    <w:rsid w:val="00045283"/>
    <w:rsid w:val="0005095F"/>
    <w:rsid w:val="00050EA4"/>
    <w:rsid w:val="000532D5"/>
    <w:rsid w:val="00054A6A"/>
    <w:rsid w:val="00060FAD"/>
    <w:rsid w:val="00067290"/>
    <w:rsid w:val="00075596"/>
    <w:rsid w:val="00077535"/>
    <w:rsid w:val="0008048C"/>
    <w:rsid w:val="00082372"/>
    <w:rsid w:val="000941BB"/>
    <w:rsid w:val="000A2F0C"/>
    <w:rsid w:val="000C7268"/>
    <w:rsid w:val="000D4868"/>
    <w:rsid w:val="000F68E5"/>
    <w:rsid w:val="000F6DB2"/>
    <w:rsid w:val="0013753C"/>
    <w:rsid w:val="0014264D"/>
    <w:rsid w:val="00144DE6"/>
    <w:rsid w:val="0014794A"/>
    <w:rsid w:val="0015138C"/>
    <w:rsid w:val="00157E92"/>
    <w:rsid w:val="00196367"/>
    <w:rsid w:val="001969D0"/>
    <w:rsid w:val="001B1224"/>
    <w:rsid w:val="001B5CCB"/>
    <w:rsid w:val="001E14F0"/>
    <w:rsid w:val="001E195F"/>
    <w:rsid w:val="001E5160"/>
    <w:rsid w:val="002060FC"/>
    <w:rsid w:val="00211947"/>
    <w:rsid w:val="002135FD"/>
    <w:rsid w:val="00217F35"/>
    <w:rsid w:val="00220765"/>
    <w:rsid w:val="0022770B"/>
    <w:rsid w:val="0024223C"/>
    <w:rsid w:val="00290909"/>
    <w:rsid w:val="002A3545"/>
    <w:rsid w:val="002B2601"/>
    <w:rsid w:val="002C5703"/>
    <w:rsid w:val="002D2E68"/>
    <w:rsid w:val="002E0F88"/>
    <w:rsid w:val="002E16FA"/>
    <w:rsid w:val="002E73E5"/>
    <w:rsid w:val="002F35FD"/>
    <w:rsid w:val="002F4180"/>
    <w:rsid w:val="00302CD3"/>
    <w:rsid w:val="00304AD3"/>
    <w:rsid w:val="00331212"/>
    <w:rsid w:val="003355D6"/>
    <w:rsid w:val="003377C3"/>
    <w:rsid w:val="0034006A"/>
    <w:rsid w:val="00341302"/>
    <w:rsid w:val="00345F10"/>
    <w:rsid w:val="00345FD4"/>
    <w:rsid w:val="00362672"/>
    <w:rsid w:val="003873A8"/>
    <w:rsid w:val="003962AD"/>
    <w:rsid w:val="003A7F8D"/>
    <w:rsid w:val="003B0343"/>
    <w:rsid w:val="003C7C8B"/>
    <w:rsid w:val="003D473E"/>
    <w:rsid w:val="003E4116"/>
    <w:rsid w:val="003E6FE3"/>
    <w:rsid w:val="003F7BD4"/>
    <w:rsid w:val="004012DE"/>
    <w:rsid w:val="00414C07"/>
    <w:rsid w:val="00416C1F"/>
    <w:rsid w:val="00420E84"/>
    <w:rsid w:val="00421104"/>
    <w:rsid w:val="0042532B"/>
    <w:rsid w:val="0043281F"/>
    <w:rsid w:val="004402AA"/>
    <w:rsid w:val="004474E4"/>
    <w:rsid w:val="00466EA5"/>
    <w:rsid w:val="004741A3"/>
    <w:rsid w:val="004813EC"/>
    <w:rsid w:val="00482153"/>
    <w:rsid w:val="004905A2"/>
    <w:rsid w:val="004A03A1"/>
    <w:rsid w:val="004B13DF"/>
    <w:rsid w:val="004B39B1"/>
    <w:rsid w:val="004B4442"/>
    <w:rsid w:val="004B57DF"/>
    <w:rsid w:val="004D1DF7"/>
    <w:rsid w:val="004D3F20"/>
    <w:rsid w:val="004D7A54"/>
    <w:rsid w:val="004F0937"/>
    <w:rsid w:val="004F2EBE"/>
    <w:rsid w:val="00503F45"/>
    <w:rsid w:val="005245E8"/>
    <w:rsid w:val="005259C7"/>
    <w:rsid w:val="005301DA"/>
    <w:rsid w:val="00530646"/>
    <w:rsid w:val="005410D4"/>
    <w:rsid w:val="005522B5"/>
    <w:rsid w:val="00552D63"/>
    <w:rsid w:val="005618BB"/>
    <w:rsid w:val="00572C98"/>
    <w:rsid w:val="0057372B"/>
    <w:rsid w:val="005758C7"/>
    <w:rsid w:val="00596190"/>
    <w:rsid w:val="005A3CC1"/>
    <w:rsid w:val="005A40F9"/>
    <w:rsid w:val="005C053D"/>
    <w:rsid w:val="005C58DB"/>
    <w:rsid w:val="005D36B5"/>
    <w:rsid w:val="005F2300"/>
    <w:rsid w:val="005F7A3D"/>
    <w:rsid w:val="00602AEB"/>
    <w:rsid w:val="00602F51"/>
    <w:rsid w:val="006045A3"/>
    <w:rsid w:val="00620229"/>
    <w:rsid w:val="00623032"/>
    <w:rsid w:val="00656848"/>
    <w:rsid w:val="006675E6"/>
    <w:rsid w:val="00677A05"/>
    <w:rsid w:val="00693A3C"/>
    <w:rsid w:val="00693C81"/>
    <w:rsid w:val="0069585D"/>
    <w:rsid w:val="006A031A"/>
    <w:rsid w:val="006C22DD"/>
    <w:rsid w:val="006D6C98"/>
    <w:rsid w:val="006F3A18"/>
    <w:rsid w:val="006F5FAD"/>
    <w:rsid w:val="00710460"/>
    <w:rsid w:val="007120D7"/>
    <w:rsid w:val="00712804"/>
    <w:rsid w:val="00742B6A"/>
    <w:rsid w:val="00754196"/>
    <w:rsid w:val="00761399"/>
    <w:rsid w:val="0076436A"/>
    <w:rsid w:val="007816D9"/>
    <w:rsid w:val="007863CD"/>
    <w:rsid w:val="00790380"/>
    <w:rsid w:val="007B34A1"/>
    <w:rsid w:val="007B3B86"/>
    <w:rsid w:val="007D0304"/>
    <w:rsid w:val="007D5A55"/>
    <w:rsid w:val="00803B08"/>
    <w:rsid w:val="00805812"/>
    <w:rsid w:val="008364A9"/>
    <w:rsid w:val="00837D36"/>
    <w:rsid w:val="00841640"/>
    <w:rsid w:val="00845D5F"/>
    <w:rsid w:val="00862008"/>
    <w:rsid w:val="00864E24"/>
    <w:rsid w:val="00865430"/>
    <w:rsid w:val="008751EA"/>
    <w:rsid w:val="008B1633"/>
    <w:rsid w:val="008B62B1"/>
    <w:rsid w:val="008C1B30"/>
    <w:rsid w:val="008D1A7B"/>
    <w:rsid w:val="008D1F0F"/>
    <w:rsid w:val="008D626B"/>
    <w:rsid w:val="008D7966"/>
    <w:rsid w:val="008E33EB"/>
    <w:rsid w:val="008E42B7"/>
    <w:rsid w:val="008E4B6A"/>
    <w:rsid w:val="008E5165"/>
    <w:rsid w:val="008F2EC5"/>
    <w:rsid w:val="00924DB6"/>
    <w:rsid w:val="0092689C"/>
    <w:rsid w:val="00953023"/>
    <w:rsid w:val="00967831"/>
    <w:rsid w:val="009801D1"/>
    <w:rsid w:val="00983986"/>
    <w:rsid w:val="009873E3"/>
    <w:rsid w:val="0099365E"/>
    <w:rsid w:val="0099509C"/>
    <w:rsid w:val="009976D9"/>
    <w:rsid w:val="00997C9A"/>
    <w:rsid w:val="009A1558"/>
    <w:rsid w:val="009A18FE"/>
    <w:rsid w:val="009B3E5C"/>
    <w:rsid w:val="009C3DB7"/>
    <w:rsid w:val="009C655C"/>
    <w:rsid w:val="009D61B6"/>
    <w:rsid w:val="009E3664"/>
    <w:rsid w:val="009E79B3"/>
    <w:rsid w:val="009F3CD4"/>
    <w:rsid w:val="009F42FD"/>
    <w:rsid w:val="00A0654D"/>
    <w:rsid w:val="00A111BF"/>
    <w:rsid w:val="00A15DEA"/>
    <w:rsid w:val="00A21931"/>
    <w:rsid w:val="00A3484E"/>
    <w:rsid w:val="00A3622F"/>
    <w:rsid w:val="00A374D6"/>
    <w:rsid w:val="00A44DFF"/>
    <w:rsid w:val="00A6335C"/>
    <w:rsid w:val="00A75C22"/>
    <w:rsid w:val="00A817B6"/>
    <w:rsid w:val="00A81D3A"/>
    <w:rsid w:val="00A94BB6"/>
    <w:rsid w:val="00A95CBC"/>
    <w:rsid w:val="00A96A66"/>
    <w:rsid w:val="00AA7953"/>
    <w:rsid w:val="00AB7682"/>
    <w:rsid w:val="00AD1659"/>
    <w:rsid w:val="00AE49AD"/>
    <w:rsid w:val="00AF33F4"/>
    <w:rsid w:val="00B04E91"/>
    <w:rsid w:val="00B25653"/>
    <w:rsid w:val="00B31B01"/>
    <w:rsid w:val="00B43ED4"/>
    <w:rsid w:val="00B46D4A"/>
    <w:rsid w:val="00B54337"/>
    <w:rsid w:val="00B60F1E"/>
    <w:rsid w:val="00B63D74"/>
    <w:rsid w:val="00B7066A"/>
    <w:rsid w:val="00B860D5"/>
    <w:rsid w:val="00B938DC"/>
    <w:rsid w:val="00BA3121"/>
    <w:rsid w:val="00BB07D5"/>
    <w:rsid w:val="00BB2E4F"/>
    <w:rsid w:val="00BC5C6B"/>
    <w:rsid w:val="00BE79F9"/>
    <w:rsid w:val="00BE7EAA"/>
    <w:rsid w:val="00BF4704"/>
    <w:rsid w:val="00C07BB9"/>
    <w:rsid w:val="00C14B08"/>
    <w:rsid w:val="00C16E00"/>
    <w:rsid w:val="00C20032"/>
    <w:rsid w:val="00C40B33"/>
    <w:rsid w:val="00C4596D"/>
    <w:rsid w:val="00C56A12"/>
    <w:rsid w:val="00C56FE7"/>
    <w:rsid w:val="00C571ED"/>
    <w:rsid w:val="00C6404C"/>
    <w:rsid w:val="00C71172"/>
    <w:rsid w:val="00C82C3A"/>
    <w:rsid w:val="00C91633"/>
    <w:rsid w:val="00C916A3"/>
    <w:rsid w:val="00CB03CE"/>
    <w:rsid w:val="00CD0343"/>
    <w:rsid w:val="00CE070A"/>
    <w:rsid w:val="00CE2DD9"/>
    <w:rsid w:val="00CE3EEC"/>
    <w:rsid w:val="00D01768"/>
    <w:rsid w:val="00D02C05"/>
    <w:rsid w:val="00D2189F"/>
    <w:rsid w:val="00D57C8D"/>
    <w:rsid w:val="00D657F8"/>
    <w:rsid w:val="00D67933"/>
    <w:rsid w:val="00D74361"/>
    <w:rsid w:val="00D7538C"/>
    <w:rsid w:val="00D851D1"/>
    <w:rsid w:val="00D90EFC"/>
    <w:rsid w:val="00DA0E93"/>
    <w:rsid w:val="00DA1779"/>
    <w:rsid w:val="00DB2929"/>
    <w:rsid w:val="00DC45D5"/>
    <w:rsid w:val="00DC5BF9"/>
    <w:rsid w:val="00DD5134"/>
    <w:rsid w:val="00DD673D"/>
    <w:rsid w:val="00DF43BE"/>
    <w:rsid w:val="00DF747F"/>
    <w:rsid w:val="00E00FA2"/>
    <w:rsid w:val="00E111A6"/>
    <w:rsid w:val="00E17E80"/>
    <w:rsid w:val="00E2056B"/>
    <w:rsid w:val="00E354FE"/>
    <w:rsid w:val="00E55371"/>
    <w:rsid w:val="00E57913"/>
    <w:rsid w:val="00E67C60"/>
    <w:rsid w:val="00E7018E"/>
    <w:rsid w:val="00E86A37"/>
    <w:rsid w:val="00E90A21"/>
    <w:rsid w:val="00E93823"/>
    <w:rsid w:val="00E97ACA"/>
    <w:rsid w:val="00EA1A46"/>
    <w:rsid w:val="00EA284B"/>
    <w:rsid w:val="00EA2909"/>
    <w:rsid w:val="00EA3871"/>
    <w:rsid w:val="00EB30B9"/>
    <w:rsid w:val="00EB71B9"/>
    <w:rsid w:val="00EC2E2E"/>
    <w:rsid w:val="00EC69CA"/>
    <w:rsid w:val="00ED758A"/>
    <w:rsid w:val="00EE68F0"/>
    <w:rsid w:val="00EF66AC"/>
    <w:rsid w:val="00EF786E"/>
    <w:rsid w:val="00F01226"/>
    <w:rsid w:val="00F030D7"/>
    <w:rsid w:val="00F37D9C"/>
    <w:rsid w:val="00F5734C"/>
    <w:rsid w:val="00F71DD7"/>
    <w:rsid w:val="00FA37B0"/>
    <w:rsid w:val="00FB05F1"/>
    <w:rsid w:val="00FB2357"/>
    <w:rsid w:val="00FC2AB7"/>
    <w:rsid w:val="00FC32A6"/>
    <w:rsid w:val="00FD635A"/>
    <w:rsid w:val="00FD7F80"/>
    <w:rsid w:val="00FE324E"/>
    <w:rsid w:val="00F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D67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E33EB"/>
    <w:pPr>
      <w:keepNext/>
      <w:numPr>
        <w:ilvl w:val="1"/>
        <w:numId w:val="26"/>
      </w:numPr>
      <w:spacing w:before="240" w:after="120"/>
      <w:jc w:val="both"/>
      <w:outlineLvl w:val="1"/>
    </w:pPr>
    <w:rPr>
      <w:rFonts w:ascii="Calibri" w:hAnsi="Calibri"/>
      <w:b/>
      <w:bCs/>
      <w:iCs/>
    </w:rPr>
  </w:style>
  <w:style w:type="paragraph" w:styleId="Nadpis3">
    <w:name w:val="heading 3"/>
    <w:basedOn w:val="Normln"/>
    <w:next w:val="Normln"/>
    <w:link w:val="Nadpis3Char"/>
    <w:qFormat/>
    <w:rsid w:val="008E33EB"/>
    <w:pPr>
      <w:keepNext/>
      <w:numPr>
        <w:ilvl w:val="2"/>
        <w:numId w:val="26"/>
      </w:numPr>
      <w:spacing w:before="240" w:after="60"/>
      <w:outlineLvl w:val="2"/>
    </w:pPr>
    <w:rPr>
      <w:rFonts w:ascii="Calibri" w:hAnsi="Calibri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C91633"/>
    <w:pPr>
      <w:tabs>
        <w:tab w:val="right" w:pos="9214"/>
      </w:tabs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9"/>
      </w:numPr>
      <w:spacing w:before="120" w:after="120"/>
    </w:pPr>
    <w:rPr>
      <w:b/>
      <w:spacing w:val="22"/>
      <w:szCs w:val="20"/>
    </w:rPr>
  </w:style>
  <w:style w:type="paragraph" w:customStyle="1" w:styleId="Paragrafneslovan">
    <w:name w:val="Paragraf nečíslovaný"/>
    <w:basedOn w:val="Normln"/>
    <w:autoRedefine/>
    <w:rsid w:val="006D6C98"/>
    <w:pPr>
      <w:tabs>
        <w:tab w:val="left" w:pos="1843"/>
        <w:tab w:val="right" w:pos="8222"/>
      </w:tabs>
      <w:jc w:val="both"/>
    </w:pPr>
    <w:rPr>
      <w:szCs w:val="20"/>
    </w:rPr>
  </w:style>
  <w:style w:type="table" w:styleId="Mkatabulky">
    <w:name w:val="Table Grid"/>
    <w:basedOn w:val="Normlntabulka"/>
    <w:rsid w:val="0098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B7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6EA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23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8E33EB"/>
    <w:rPr>
      <w:rFonts w:ascii="Calibri" w:hAnsi="Calibri"/>
      <w:b/>
      <w:bCs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E33EB"/>
    <w:rPr>
      <w:rFonts w:ascii="Calibri" w:hAnsi="Calibri" w:cs="Arial"/>
      <w:b/>
      <w:bCs/>
      <w:sz w:val="24"/>
      <w:szCs w:val="26"/>
    </w:rPr>
  </w:style>
  <w:style w:type="paragraph" w:styleId="Zkladntextodsazen">
    <w:name w:val="Body Text Indent"/>
    <w:basedOn w:val="Normln"/>
    <w:link w:val="ZkladntextodsazenChar"/>
    <w:rsid w:val="008E33EB"/>
    <w:pPr>
      <w:ind w:firstLine="360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8E33EB"/>
    <w:rPr>
      <w:rFonts w:ascii="Arial" w:hAnsi="Arial"/>
      <w:sz w:val="24"/>
      <w:szCs w:val="24"/>
    </w:rPr>
  </w:style>
  <w:style w:type="character" w:styleId="Odkaznakoment">
    <w:name w:val="annotation reference"/>
    <w:basedOn w:val="Standardnpsmoodstavce"/>
    <w:rsid w:val="00060F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60F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60FAD"/>
  </w:style>
  <w:style w:type="paragraph" w:styleId="Pedmtkomente">
    <w:name w:val="annotation subject"/>
    <w:basedOn w:val="Textkomente"/>
    <w:next w:val="Textkomente"/>
    <w:link w:val="PedmtkomenteChar"/>
    <w:rsid w:val="00060F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60FAD"/>
    <w:rPr>
      <w:b/>
      <w:bCs/>
    </w:rPr>
  </w:style>
  <w:style w:type="character" w:customStyle="1" w:styleId="Nadpis1Char">
    <w:name w:val="Nadpis 1 Char"/>
    <w:basedOn w:val="Standardnpsmoodstavce"/>
    <w:link w:val="Nadpis1"/>
    <w:rsid w:val="00DD6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D67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E33EB"/>
    <w:pPr>
      <w:keepNext/>
      <w:numPr>
        <w:ilvl w:val="1"/>
        <w:numId w:val="26"/>
      </w:numPr>
      <w:spacing w:before="240" w:after="120"/>
      <w:jc w:val="both"/>
      <w:outlineLvl w:val="1"/>
    </w:pPr>
    <w:rPr>
      <w:rFonts w:ascii="Calibri" w:hAnsi="Calibri"/>
      <w:b/>
      <w:bCs/>
      <w:iCs/>
    </w:rPr>
  </w:style>
  <w:style w:type="paragraph" w:styleId="Nadpis3">
    <w:name w:val="heading 3"/>
    <w:basedOn w:val="Normln"/>
    <w:next w:val="Normln"/>
    <w:link w:val="Nadpis3Char"/>
    <w:qFormat/>
    <w:rsid w:val="008E33EB"/>
    <w:pPr>
      <w:keepNext/>
      <w:numPr>
        <w:ilvl w:val="2"/>
        <w:numId w:val="26"/>
      </w:numPr>
      <w:spacing w:before="240" w:after="60"/>
      <w:outlineLvl w:val="2"/>
    </w:pPr>
    <w:rPr>
      <w:rFonts w:ascii="Calibri" w:hAnsi="Calibri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C91633"/>
    <w:pPr>
      <w:tabs>
        <w:tab w:val="right" w:pos="9214"/>
      </w:tabs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9"/>
      </w:numPr>
      <w:spacing w:before="120" w:after="120"/>
    </w:pPr>
    <w:rPr>
      <w:b/>
      <w:spacing w:val="22"/>
      <w:szCs w:val="20"/>
    </w:rPr>
  </w:style>
  <w:style w:type="paragraph" w:customStyle="1" w:styleId="Paragrafneslovan">
    <w:name w:val="Paragraf nečíslovaný"/>
    <w:basedOn w:val="Normln"/>
    <w:autoRedefine/>
    <w:rsid w:val="006D6C98"/>
    <w:pPr>
      <w:tabs>
        <w:tab w:val="left" w:pos="1843"/>
        <w:tab w:val="right" w:pos="8222"/>
      </w:tabs>
      <w:jc w:val="both"/>
    </w:pPr>
    <w:rPr>
      <w:szCs w:val="20"/>
    </w:rPr>
  </w:style>
  <w:style w:type="table" w:styleId="Mkatabulky">
    <w:name w:val="Table Grid"/>
    <w:basedOn w:val="Normlntabulka"/>
    <w:rsid w:val="0098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B7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6EA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23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8E33EB"/>
    <w:rPr>
      <w:rFonts w:ascii="Calibri" w:hAnsi="Calibri"/>
      <w:b/>
      <w:bCs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E33EB"/>
    <w:rPr>
      <w:rFonts w:ascii="Calibri" w:hAnsi="Calibri" w:cs="Arial"/>
      <w:b/>
      <w:bCs/>
      <w:sz w:val="24"/>
      <w:szCs w:val="26"/>
    </w:rPr>
  </w:style>
  <w:style w:type="paragraph" w:styleId="Zkladntextodsazen">
    <w:name w:val="Body Text Indent"/>
    <w:basedOn w:val="Normln"/>
    <w:link w:val="ZkladntextodsazenChar"/>
    <w:rsid w:val="008E33EB"/>
    <w:pPr>
      <w:ind w:firstLine="360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8E33EB"/>
    <w:rPr>
      <w:rFonts w:ascii="Arial" w:hAnsi="Arial"/>
      <w:sz w:val="24"/>
      <w:szCs w:val="24"/>
    </w:rPr>
  </w:style>
  <w:style w:type="character" w:styleId="Odkaznakoment">
    <w:name w:val="annotation reference"/>
    <w:basedOn w:val="Standardnpsmoodstavce"/>
    <w:rsid w:val="00060F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60F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60FAD"/>
  </w:style>
  <w:style w:type="paragraph" w:styleId="Pedmtkomente">
    <w:name w:val="annotation subject"/>
    <w:basedOn w:val="Textkomente"/>
    <w:next w:val="Textkomente"/>
    <w:link w:val="PedmtkomenteChar"/>
    <w:rsid w:val="00060F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60FAD"/>
    <w:rPr>
      <w:b/>
      <w:bCs/>
    </w:rPr>
  </w:style>
  <w:style w:type="character" w:customStyle="1" w:styleId="Nadpis1Char">
    <w:name w:val="Nadpis 1 Char"/>
    <w:basedOn w:val="Standardnpsmoodstavce"/>
    <w:link w:val="Nadpis1"/>
    <w:rsid w:val="00DD6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uvodova%20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4D9D-1108-4283-8B41-7E276A77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Duvodova zprava.dot</Template>
  <TotalTime>11</TotalTime>
  <Pages>4</Pages>
  <Words>1468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Michal Beránek</dc:creator>
  <cp:lastModifiedBy>Hájková Adéla</cp:lastModifiedBy>
  <cp:revision>6</cp:revision>
  <cp:lastPrinted>2017-11-24T06:45:00Z</cp:lastPrinted>
  <dcterms:created xsi:type="dcterms:W3CDTF">2017-11-30T11:01:00Z</dcterms:created>
  <dcterms:modified xsi:type="dcterms:W3CDTF">2017-12-04T12:19:00Z</dcterms:modified>
</cp:coreProperties>
</file>