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13" w:rsidRDefault="00EE63C3" w:rsidP="00381835">
      <w:pPr>
        <w:pStyle w:val="vlev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Důvodová zpráva</w:t>
      </w:r>
    </w:p>
    <w:p w:rsidR="001151AF" w:rsidRPr="00381835" w:rsidRDefault="001151AF" w:rsidP="00381835">
      <w:pPr>
        <w:pStyle w:val="vlevo"/>
        <w:jc w:val="center"/>
        <w:rPr>
          <w:b/>
          <w:sz w:val="32"/>
          <w:szCs w:val="32"/>
        </w:rPr>
      </w:pPr>
    </w:p>
    <w:p w:rsidR="00815F5F" w:rsidRDefault="00815F5F" w:rsidP="00815F5F">
      <w:pPr>
        <w:pStyle w:val="ostzahl"/>
        <w:tabs>
          <w:tab w:val="clear" w:pos="1070"/>
          <w:tab w:val="left" w:pos="708"/>
        </w:tabs>
        <w:ind w:left="426"/>
      </w:pPr>
      <w:r>
        <w:t>Název problému a jeho charakteristika</w:t>
      </w:r>
    </w:p>
    <w:p w:rsidR="00232AE9" w:rsidRPr="002718CE" w:rsidRDefault="00232AE9" w:rsidP="004E3A1A">
      <w:pPr>
        <w:pStyle w:val="vlevo"/>
        <w:rPr>
          <w:w w:val="110"/>
        </w:rPr>
      </w:pPr>
      <w:r w:rsidRPr="002718CE">
        <w:rPr>
          <w:w w:val="110"/>
        </w:rPr>
        <w:t>Stanovení p</w:t>
      </w:r>
      <w:r w:rsidR="003E3B11" w:rsidRPr="002718CE">
        <w:rPr>
          <w:w w:val="110"/>
        </w:rPr>
        <w:t>ostupu a podmínek pro majetkovou přípravu pro</w:t>
      </w:r>
      <w:r w:rsidR="003E3B11" w:rsidRPr="002718CE">
        <w:t xml:space="preserve"> stavb</w:t>
      </w:r>
      <w:r w:rsidRPr="002718CE">
        <w:t>u Průtah silni</w:t>
      </w:r>
      <w:r w:rsidR="003E3B11" w:rsidRPr="002718CE">
        <w:t>ce I/20 úsek Jasmínová – Jateční (</w:t>
      </w:r>
      <w:r w:rsidRPr="002718CE">
        <w:t>v závazné části územního plánu města Plzně</w:t>
      </w:r>
      <w:r w:rsidR="003E3B11" w:rsidRPr="002718CE">
        <w:t xml:space="preserve"> jsou zde vedeny veřejně prospěšné stavby </w:t>
      </w:r>
      <w:r w:rsidR="003E3B11" w:rsidRPr="002718CE">
        <w:rPr>
          <w:szCs w:val="24"/>
        </w:rPr>
        <w:t>S-7 „Městský okruh, úsek Na Růžku – Na Roudné, průjezdní úsek silnice I/20“ a S-6 „Velenická, úsek Koterovská - Na Růžku, průjezdní úsek silnice I/20“)</w:t>
      </w:r>
      <w:r w:rsidRPr="002718CE">
        <w:t xml:space="preserve"> Návrh nabídkové ceny pro výkupy garáží, které budou pře</w:t>
      </w:r>
      <w:r w:rsidR="003E3B11" w:rsidRPr="002718CE">
        <w:t>d stavbou muset být zdemolovány, a možnost jejich využívání do doby zahájení demolic a stavby.</w:t>
      </w:r>
    </w:p>
    <w:p w:rsidR="00232AE9" w:rsidRDefault="00232AE9" w:rsidP="004E3A1A">
      <w:pPr>
        <w:pStyle w:val="vlevo"/>
        <w:rPr>
          <w:w w:val="110"/>
        </w:rPr>
      </w:pPr>
    </w:p>
    <w:p w:rsidR="00815F5F" w:rsidRDefault="00815F5F" w:rsidP="00815F5F">
      <w:pPr>
        <w:pStyle w:val="ostzahl"/>
        <w:tabs>
          <w:tab w:val="clear" w:pos="1070"/>
          <w:tab w:val="left" w:pos="708"/>
        </w:tabs>
        <w:ind w:left="426"/>
      </w:pPr>
      <w:r>
        <w:t>Konstatování současného stavu a jeho analýza</w:t>
      </w:r>
    </w:p>
    <w:p w:rsidR="00815F5F" w:rsidRDefault="00232AE9" w:rsidP="004E3A1A">
      <w:pPr>
        <w:pStyle w:val="vlevo"/>
      </w:pPr>
      <w:r>
        <w:t>Majetková příprav</w:t>
      </w:r>
      <w:r w:rsidR="00A64B40">
        <w:t>a,</w:t>
      </w:r>
      <w:r>
        <w:t xml:space="preserve"> výkupy a směny</w:t>
      </w:r>
      <w:r w:rsidR="00A64B40">
        <w:t>,</w:t>
      </w:r>
      <w:r>
        <w:t xml:space="preserve"> pro výše uvedenou rozsáhlou veřejně prospěšnou stavbu probíhá již l</w:t>
      </w:r>
      <w:r w:rsidR="00A64B40">
        <w:t>é</w:t>
      </w:r>
      <w:r>
        <w:t>ta</w:t>
      </w:r>
      <w:r w:rsidR="00A64B40">
        <w:t>,</w:t>
      </w:r>
      <w:r>
        <w:t xml:space="preserve"> cca od r. 2000, ale </w:t>
      </w:r>
      <w:r w:rsidR="00CF0910">
        <w:t>pouze na základě individuálních žádostí vlastníků, neboť nebyla k dispozici přesná dokumentace.</w:t>
      </w:r>
      <w:r>
        <w:rPr>
          <w:szCs w:val="24"/>
        </w:rPr>
        <w:t xml:space="preserve"> V minulosti byly ještě</w:t>
      </w:r>
      <w:r w:rsidRPr="00227AE2">
        <w:rPr>
          <w:szCs w:val="24"/>
        </w:rPr>
        <w:t xml:space="preserve"> </w:t>
      </w:r>
      <w:r>
        <w:rPr>
          <w:szCs w:val="24"/>
        </w:rPr>
        <w:t xml:space="preserve">ÚIMP vykoupeny </w:t>
      </w:r>
      <w:r w:rsidRPr="00227AE2">
        <w:rPr>
          <w:szCs w:val="24"/>
        </w:rPr>
        <w:t xml:space="preserve"> 2 domy a to Velenická 50 </w:t>
      </w:r>
      <w:r>
        <w:rPr>
          <w:szCs w:val="24"/>
        </w:rPr>
        <w:t>(</w:t>
      </w:r>
      <w:proofErr w:type="gramStart"/>
      <w:r w:rsidRPr="00227AE2">
        <w:rPr>
          <w:szCs w:val="24"/>
        </w:rPr>
        <w:t>č.p.</w:t>
      </w:r>
      <w:proofErr w:type="gramEnd"/>
      <w:r>
        <w:rPr>
          <w:szCs w:val="24"/>
        </w:rPr>
        <w:t xml:space="preserve"> </w:t>
      </w:r>
      <w:r w:rsidRPr="00227AE2">
        <w:rPr>
          <w:szCs w:val="24"/>
        </w:rPr>
        <w:t>500</w:t>
      </w:r>
      <w:r>
        <w:rPr>
          <w:szCs w:val="24"/>
        </w:rPr>
        <w:t>)</w:t>
      </w:r>
      <w:r w:rsidRPr="00227AE2">
        <w:rPr>
          <w:szCs w:val="24"/>
        </w:rPr>
        <w:t xml:space="preserve"> a Jubilejní 47 </w:t>
      </w:r>
      <w:r>
        <w:rPr>
          <w:szCs w:val="24"/>
        </w:rPr>
        <w:t>(</w:t>
      </w:r>
      <w:r w:rsidRPr="00227AE2">
        <w:rPr>
          <w:szCs w:val="24"/>
        </w:rPr>
        <w:t>č.p. 408</w:t>
      </w:r>
      <w:r>
        <w:rPr>
          <w:szCs w:val="24"/>
        </w:rPr>
        <w:t>)</w:t>
      </w:r>
      <w:r w:rsidRPr="00227AE2">
        <w:rPr>
          <w:szCs w:val="24"/>
        </w:rPr>
        <w:t xml:space="preserve"> a získáno směnou či výkupem 23 garáží. MAJ MMP navázal v r</w:t>
      </w:r>
      <w:r>
        <w:rPr>
          <w:szCs w:val="24"/>
        </w:rPr>
        <w:t>oce</w:t>
      </w:r>
      <w:r w:rsidRPr="00227AE2">
        <w:rPr>
          <w:szCs w:val="24"/>
        </w:rPr>
        <w:t xml:space="preserve"> 2007 na činnost ÚIMP a </w:t>
      </w:r>
      <w:r>
        <w:rPr>
          <w:szCs w:val="24"/>
        </w:rPr>
        <w:t>započal se směnami a výkupy garáží</w:t>
      </w:r>
      <w:r w:rsidRPr="00227AE2">
        <w:rPr>
          <w:szCs w:val="24"/>
        </w:rPr>
        <w:t xml:space="preserve"> podle původních záměrů, které byly specifikovány v projektu označeném „Jasm</w:t>
      </w:r>
      <w:r>
        <w:rPr>
          <w:szCs w:val="24"/>
        </w:rPr>
        <w:t>ínová – Sušická“. V něm bylo v záboru celkově 8 </w:t>
      </w:r>
      <w:r w:rsidRPr="00227AE2">
        <w:rPr>
          <w:szCs w:val="24"/>
        </w:rPr>
        <w:t>domů</w:t>
      </w:r>
      <w:r>
        <w:rPr>
          <w:szCs w:val="24"/>
        </w:rPr>
        <w:t xml:space="preserve">, </w:t>
      </w:r>
      <w:r w:rsidRPr="00227AE2">
        <w:rPr>
          <w:szCs w:val="24"/>
        </w:rPr>
        <w:t>168 garáží určených k demolici v k.</w:t>
      </w:r>
      <w:r w:rsidR="00A64B40">
        <w:rPr>
          <w:szCs w:val="24"/>
        </w:rPr>
        <w:t xml:space="preserve"> </w:t>
      </w:r>
      <w:proofErr w:type="spellStart"/>
      <w:r w:rsidRPr="00227AE2">
        <w:rPr>
          <w:szCs w:val="24"/>
        </w:rPr>
        <w:t>ú.</w:t>
      </w:r>
      <w:proofErr w:type="spellEnd"/>
      <w:r w:rsidRPr="00227AE2">
        <w:rPr>
          <w:szCs w:val="24"/>
        </w:rPr>
        <w:t xml:space="preserve"> Plzeň, Hradiště u Plzně a </w:t>
      </w:r>
      <w:proofErr w:type="spellStart"/>
      <w:r w:rsidRPr="00227AE2">
        <w:rPr>
          <w:szCs w:val="24"/>
        </w:rPr>
        <w:t>Božkov</w:t>
      </w:r>
      <w:proofErr w:type="spellEnd"/>
      <w:r>
        <w:rPr>
          <w:szCs w:val="24"/>
        </w:rPr>
        <w:t xml:space="preserve"> a </w:t>
      </w:r>
      <w:r w:rsidRPr="00227AE2">
        <w:rPr>
          <w:szCs w:val="24"/>
        </w:rPr>
        <w:t>bylo po</w:t>
      </w:r>
      <w:r w:rsidR="004E3A1A">
        <w:rPr>
          <w:szCs w:val="24"/>
        </w:rPr>
        <w:t xml:space="preserve">čítáno s trvalým záborem cca 81 </w:t>
      </w:r>
      <w:r w:rsidRPr="00227AE2">
        <w:rPr>
          <w:szCs w:val="24"/>
        </w:rPr>
        <w:t>377 m</w:t>
      </w:r>
      <w:r>
        <w:rPr>
          <w:szCs w:val="24"/>
          <w:vertAlign w:val="superscript"/>
        </w:rPr>
        <w:t>2</w:t>
      </w:r>
      <w:r w:rsidRPr="00227AE2">
        <w:rPr>
          <w:szCs w:val="24"/>
        </w:rPr>
        <w:t>.</w:t>
      </w:r>
      <w:r>
        <w:rPr>
          <w:szCs w:val="24"/>
        </w:rPr>
        <w:t xml:space="preserve"> V roce 2002 bylo přijato usnesení RMP č. 666 z 27.</w:t>
      </w:r>
      <w:r w:rsidR="004E3A1A">
        <w:rPr>
          <w:szCs w:val="24"/>
        </w:rPr>
        <w:t xml:space="preserve"> </w:t>
      </w:r>
      <w:r>
        <w:rPr>
          <w:szCs w:val="24"/>
        </w:rPr>
        <w:t>6.</w:t>
      </w:r>
      <w:r w:rsidR="004E3A1A">
        <w:rPr>
          <w:szCs w:val="24"/>
        </w:rPr>
        <w:t xml:space="preserve"> </w:t>
      </w:r>
      <w:r>
        <w:rPr>
          <w:szCs w:val="24"/>
        </w:rPr>
        <w:t xml:space="preserve">2002 </w:t>
      </w:r>
      <w:r w:rsidR="00A64B40">
        <w:rPr>
          <w:szCs w:val="24"/>
        </w:rPr>
        <w:t>(</w:t>
      </w:r>
      <w:r>
        <w:rPr>
          <w:szCs w:val="24"/>
        </w:rPr>
        <w:t>viz příloha</w:t>
      </w:r>
      <w:r w:rsidR="00A64B40">
        <w:rPr>
          <w:szCs w:val="24"/>
        </w:rPr>
        <w:t>)</w:t>
      </w:r>
      <w:r>
        <w:rPr>
          <w:szCs w:val="24"/>
        </w:rPr>
        <w:t>, které up</w:t>
      </w:r>
      <w:r w:rsidR="00CF0910">
        <w:rPr>
          <w:szCs w:val="24"/>
        </w:rPr>
        <w:t xml:space="preserve">řednostnilo využití </w:t>
      </w:r>
      <w:proofErr w:type="gramStart"/>
      <w:r w:rsidR="00CF0910">
        <w:rPr>
          <w:szCs w:val="24"/>
        </w:rPr>
        <w:t xml:space="preserve">uvolněných </w:t>
      </w:r>
      <w:r>
        <w:rPr>
          <w:szCs w:val="24"/>
        </w:rPr>
        <w:t xml:space="preserve"> městských</w:t>
      </w:r>
      <w:proofErr w:type="gramEnd"/>
      <w:r>
        <w:rPr>
          <w:szCs w:val="24"/>
        </w:rPr>
        <w:t xml:space="preserve"> garáží pro směny oproti jejich prodeji. Následně byla zpracována nová studie a připravuje se DÚR, v níž dojde k upřesnění. U některých zásahů do stávajících </w:t>
      </w:r>
      <w:r w:rsidR="0080515B">
        <w:rPr>
          <w:szCs w:val="24"/>
        </w:rPr>
        <w:t xml:space="preserve">staveb </w:t>
      </w:r>
      <w:r>
        <w:rPr>
          <w:szCs w:val="24"/>
        </w:rPr>
        <w:t>se nezbytnost zásahu prověřuje.</w:t>
      </w:r>
    </w:p>
    <w:p w:rsidR="00181A13" w:rsidRDefault="00815F5F" w:rsidP="004E3A1A">
      <w:pPr>
        <w:pStyle w:val="vlevo"/>
      </w:pPr>
      <w:r>
        <w:t xml:space="preserve">Pro uvedenou VPS bylo již na základě žádostí vlastníků vykoupeno nebo směněno do vlastnictví města Plzně </w:t>
      </w:r>
      <w:r w:rsidRPr="00181A13">
        <w:t xml:space="preserve">58 garáží. </w:t>
      </w:r>
    </w:p>
    <w:p w:rsidR="00815F5F" w:rsidRDefault="00815F5F" w:rsidP="004E3A1A">
      <w:pPr>
        <w:pStyle w:val="vlevo"/>
      </w:pPr>
      <w:r>
        <w:t xml:space="preserve">V roce 2010 – 2017 se ceny garáží vykupovaných nebo směňovaných do majetku města Plzně </w:t>
      </w:r>
      <w:r w:rsidR="00715889">
        <w:t>pohybovaly od 120 tis. Kč do 188</w:t>
      </w:r>
      <w:r>
        <w:t xml:space="preserve"> tis. Kč. </w:t>
      </w:r>
    </w:p>
    <w:p w:rsidR="00715889" w:rsidRDefault="00715889" w:rsidP="004E3A1A">
      <w:pPr>
        <w:pStyle w:val="vlevo"/>
      </w:pPr>
      <w:r>
        <w:t>V současné době se jeví jako nezbytné maximálně urychlit majetkovou přípravu právě na tomto úseku I/20</w:t>
      </w:r>
      <w:r w:rsidR="00CF0910">
        <w:t>, a proto MAJ MMP navrhuje vytvořit nabídku</w:t>
      </w:r>
      <w:r>
        <w:t xml:space="preserve"> všem vlastníkům </w:t>
      </w:r>
      <w:r w:rsidR="00704617">
        <w:t xml:space="preserve">pozemků, jejichž součástí je stavba </w:t>
      </w:r>
      <w:proofErr w:type="gramStart"/>
      <w:r w:rsidR="00704617">
        <w:t xml:space="preserve">garáže, </w:t>
      </w:r>
      <w:r>
        <w:t xml:space="preserve"> </w:t>
      </w:r>
      <w:r w:rsidR="00CF0910">
        <w:t>na</w:t>
      </w:r>
      <w:proofErr w:type="gramEnd"/>
      <w:r w:rsidR="00CF0910">
        <w:t xml:space="preserve"> výkup </w:t>
      </w:r>
      <w:r>
        <w:t>za jednotkovou kupní cenu, která by vycházela ze současných cen pozemků s garážemi, odrážela situaci na trhu  a byla pro vlastníky přijatelná. Odbourala by se tím řada administrativních úkonů, snížily by se výdaje na jednotlivé znalecké posudky a eliminovalo by se tak dohadování o tom, proč ta či ona garáž byla dražší či levnější.</w:t>
      </w:r>
    </w:p>
    <w:p w:rsidR="00704617" w:rsidRDefault="00815F5F" w:rsidP="004E3A1A">
      <w:pPr>
        <w:pStyle w:val="vlevo"/>
      </w:pPr>
      <w:r>
        <w:t xml:space="preserve">MAJ </w:t>
      </w:r>
      <w:r w:rsidR="00715889">
        <w:t>spolu s interní znalkyn</w:t>
      </w:r>
      <w:r w:rsidR="007E0235">
        <w:t>í</w:t>
      </w:r>
      <w:r w:rsidR="00715889">
        <w:t xml:space="preserve"> EÚ a znalcem Vladislavem </w:t>
      </w:r>
      <w:proofErr w:type="spellStart"/>
      <w:r w:rsidR="00715889">
        <w:t>Titlem</w:t>
      </w:r>
      <w:proofErr w:type="spellEnd"/>
      <w:r w:rsidR="00715889">
        <w:t xml:space="preserve"> pro posouzení možné ceny u</w:t>
      </w:r>
      <w:r w:rsidR="00A64B40">
        <w:t> </w:t>
      </w:r>
      <w:r w:rsidR="00715889">
        <w:t xml:space="preserve">běžných řadových garáží </w:t>
      </w:r>
      <w:r w:rsidR="00704617">
        <w:t xml:space="preserve">resp. pozemků (součástí garáž) </w:t>
      </w:r>
      <w:r w:rsidR="00715889">
        <w:t>v této lokalitě vy</w:t>
      </w:r>
      <w:r w:rsidR="00A64B40">
        <w:t>b</w:t>
      </w:r>
      <w:r w:rsidR="00715889">
        <w:t xml:space="preserve">ral z již </w:t>
      </w:r>
      <w:r w:rsidR="00704617">
        <w:t xml:space="preserve">městem </w:t>
      </w:r>
      <w:r w:rsidR="00715889">
        <w:t xml:space="preserve">realizovaných </w:t>
      </w:r>
      <w:r w:rsidR="00704617">
        <w:t xml:space="preserve">10 případů </w:t>
      </w:r>
      <w:r w:rsidR="00715889">
        <w:t>směn nebo prodejů</w:t>
      </w:r>
      <w:r w:rsidR="00704617">
        <w:t xml:space="preserve"> </w:t>
      </w:r>
      <w:r w:rsidR="00BE2331">
        <w:t>v k.</w:t>
      </w:r>
      <w:r w:rsidR="00A64B40">
        <w:t xml:space="preserve"> </w:t>
      </w:r>
      <w:proofErr w:type="spellStart"/>
      <w:r w:rsidR="00BE2331">
        <w:t>ú.</w:t>
      </w:r>
      <w:proofErr w:type="spellEnd"/>
      <w:r w:rsidR="00BE2331">
        <w:t xml:space="preserve"> Plzeň (na tomto k.</w:t>
      </w:r>
      <w:r w:rsidR="00A64B40">
        <w:t xml:space="preserve"> </w:t>
      </w:r>
      <w:proofErr w:type="spellStart"/>
      <w:r w:rsidR="00BE2331">
        <w:t>ú.</w:t>
      </w:r>
      <w:proofErr w:type="spellEnd"/>
      <w:r w:rsidR="00BE2331">
        <w:t xml:space="preserve"> </w:t>
      </w:r>
      <w:proofErr w:type="gramStart"/>
      <w:r w:rsidR="00BE2331">
        <w:t>je</w:t>
      </w:r>
      <w:proofErr w:type="gramEnd"/>
      <w:r w:rsidR="00BE2331">
        <w:t xml:space="preserve"> většina těchto staveb) a 3 </w:t>
      </w:r>
      <w:r w:rsidR="00704617">
        <w:t xml:space="preserve">případy </w:t>
      </w:r>
      <w:r w:rsidR="00BE2331">
        <w:t>z k.</w:t>
      </w:r>
      <w:r w:rsidR="00A64B40">
        <w:t xml:space="preserve"> </w:t>
      </w:r>
      <w:proofErr w:type="spellStart"/>
      <w:r w:rsidR="00181A13">
        <w:t>ú.</w:t>
      </w:r>
      <w:proofErr w:type="spellEnd"/>
      <w:r w:rsidR="00181A13">
        <w:t xml:space="preserve"> Hradiště u Plzně</w:t>
      </w:r>
      <w:r w:rsidR="00BE2331">
        <w:t>, použil původní znalecké posudky z doby nabytí (od r.</w:t>
      </w:r>
      <w:r w:rsidR="00894811">
        <w:t xml:space="preserve"> </w:t>
      </w:r>
      <w:r w:rsidR="00BE2331">
        <w:t xml:space="preserve">2010 do 2015) a tyto posudky přepočetl na úroveň současných cen administrativních i obvyklých. </w:t>
      </w:r>
    </w:p>
    <w:p w:rsidR="00BE2331" w:rsidRDefault="00BE2331" w:rsidP="004E3A1A">
      <w:pPr>
        <w:pStyle w:val="vlevo"/>
      </w:pPr>
      <w:r>
        <w:t xml:space="preserve">Dále byly vzaty do úvahy posudky z výkupů a směn realizovaných nebo projednávaných nedávno </w:t>
      </w:r>
      <w:r w:rsidR="00A64B40">
        <w:t>(</w:t>
      </w:r>
      <w:r>
        <w:t>2017 a 2018</w:t>
      </w:r>
      <w:r w:rsidR="00A64B40">
        <w:t>)</w:t>
      </w:r>
      <w:r>
        <w:t xml:space="preserve"> a </w:t>
      </w:r>
      <w:r w:rsidR="00704617">
        <w:t xml:space="preserve">také </w:t>
      </w:r>
      <w:r>
        <w:t xml:space="preserve">byly posouzeny a v ceně obvyklé zohledněny současné nabídky realitních kanceláří na prodeje </w:t>
      </w:r>
      <w:r w:rsidR="00704617">
        <w:t>pozemků s garážemi</w:t>
      </w:r>
      <w:r>
        <w:t xml:space="preserve">. </w:t>
      </w:r>
    </w:p>
    <w:p w:rsidR="00BE2331" w:rsidRDefault="00BE2331" w:rsidP="004E3A1A">
      <w:pPr>
        <w:pStyle w:val="vlevo"/>
      </w:pPr>
      <w:r>
        <w:t>Z těchto údajů bylo zjištěno, že:</w:t>
      </w:r>
    </w:p>
    <w:p w:rsidR="00BE2331" w:rsidRDefault="00704617" w:rsidP="004E3A1A">
      <w:pPr>
        <w:pStyle w:val="vlevo"/>
      </w:pPr>
      <w:r>
        <w:t xml:space="preserve">Minimální </w:t>
      </w:r>
      <w:proofErr w:type="gramStart"/>
      <w:r>
        <w:t xml:space="preserve">cena </w:t>
      </w:r>
      <w:r w:rsidR="00BE2331">
        <w:t xml:space="preserve"> je</w:t>
      </w:r>
      <w:proofErr w:type="gramEnd"/>
      <w:r w:rsidR="00BE2331">
        <w:t xml:space="preserve"> 151 830 Kč, maximální cena pak 210 700 Kč.</w:t>
      </w:r>
    </w:p>
    <w:p w:rsidR="00BE2331" w:rsidRDefault="00BE2331" w:rsidP="004E3A1A">
      <w:pPr>
        <w:pStyle w:val="vlevo"/>
      </w:pPr>
      <w:r>
        <w:t xml:space="preserve">Průměrná cena s odpočtem </w:t>
      </w:r>
      <w:r w:rsidR="00894811">
        <w:t>rizika pravděpodobnosti pro</w:t>
      </w:r>
      <w:r>
        <w:t xml:space="preserve">deje u realitních kanceláří </w:t>
      </w:r>
      <w:proofErr w:type="gramStart"/>
      <w:r w:rsidR="00C53B3C">
        <w:t xml:space="preserve">činí </w:t>
      </w:r>
      <w:r>
        <w:t xml:space="preserve"> 168 725</w:t>
      </w:r>
      <w:proofErr w:type="gramEnd"/>
      <w:r>
        <w:t xml:space="preserve"> Kč pro Ø výměry</w:t>
      </w:r>
      <w:r w:rsidR="004E3A1A">
        <w:t xml:space="preserve"> 18,33 m</w:t>
      </w:r>
      <w:r w:rsidR="004E3A1A">
        <w:rPr>
          <w:vertAlign w:val="superscript"/>
        </w:rPr>
        <w:t>2</w:t>
      </w:r>
      <w:r>
        <w:t>.</w:t>
      </w:r>
    </w:p>
    <w:p w:rsidR="00BE2331" w:rsidRDefault="00BE2331" w:rsidP="004E3A1A">
      <w:pPr>
        <w:pStyle w:val="vlevo"/>
      </w:pPr>
      <w:r>
        <w:t>Průměrná úřední (administrativní) cena</w:t>
      </w:r>
      <w:r w:rsidR="00894811">
        <w:t xml:space="preserve"> je 178 942,52 Kč pro</w:t>
      </w:r>
      <w:r w:rsidR="00894811" w:rsidRPr="00894811">
        <w:t xml:space="preserve"> </w:t>
      </w:r>
      <w:r w:rsidR="00894811">
        <w:t xml:space="preserve">Ø výměry 19,3 </w:t>
      </w:r>
      <w:r w:rsidR="004E3A1A">
        <w:t>m</w:t>
      </w:r>
      <w:r w:rsidR="004E3A1A">
        <w:rPr>
          <w:vertAlign w:val="superscript"/>
        </w:rPr>
        <w:t>2</w:t>
      </w:r>
      <w:r w:rsidR="00894811">
        <w:t>.</w:t>
      </w:r>
    </w:p>
    <w:p w:rsidR="00181A13" w:rsidRDefault="00181A13" w:rsidP="004E3A1A">
      <w:pPr>
        <w:pStyle w:val="vlevo"/>
      </w:pPr>
    </w:p>
    <w:p w:rsidR="00894811" w:rsidRDefault="00894811" w:rsidP="004E3A1A">
      <w:pPr>
        <w:pStyle w:val="vlevo"/>
      </w:pPr>
      <w:r>
        <w:t>Vztáhnem</w:t>
      </w:r>
      <w:r w:rsidR="00CF0910">
        <w:t>e-li tyto ceny k obvyklé</w:t>
      </w:r>
      <w:r w:rsidR="00704617">
        <w:t xml:space="preserve"> velikosti</w:t>
      </w:r>
      <w:r>
        <w:t xml:space="preserve"> 20 </w:t>
      </w:r>
      <w:r w:rsidR="004E3A1A">
        <w:t>m</w:t>
      </w:r>
      <w:r w:rsidR="004E3A1A">
        <w:rPr>
          <w:vertAlign w:val="superscript"/>
        </w:rPr>
        <w:t>2</w:t>
      </w:r>
      <w:r w:rsidR="00181A13">
        <w:t xml:space="preserve"> a přepočteme-li je na tuto velikost</w:t>
      </w:r>
      <w:r>
        <w:t>, pak lze konstatovat, že obvyklá cena takové</w:t>
      </w:r>
      <w:r w:rsidR="00704617">
        <w:t>ho pozemku (součástí garáž)</w:t>
      </w:r>
      <w:r>
        <w:t xml:space="preserve"> u realitních kanceláří činí 184 097,11 Kč, přičemž cena administrativní činí 185 432,66 Kč.</w:t>
      </w:r>
    </w:p>
    <w:p w:rsidR="00DB6FA1" w:rsidRDefault="00DB6FA1" w:rsidP="004E3A1A">
      <w:pPr>
        <w:pStyle w:val="vlevo"/>
      </w:pPr>
    </w:p>
    <w:p w:rsidR="00894811" w:rsidRPr="00181A13" w:rsidRDefault="00894811" w:rsidP="004E3A1A">
      <w:pPr>
        <w:pStyle w:val="vlevo"/>
      </w:pPr>
      <w:r w:rsidRPr="00181A13">
        <w:t xml:space="preserve">Na základě těchto výpočtů byl odhad obvyklé nabídkové ceny </w:t>
      </w:r>
      <w:r w:rsidR="00704617">
        <w:t>pozemku (součást garáž)</w:t>
      </w:r>
      <w:r w:rsidRPr="00181A13">
        <w:t xml:space="preserve"> v</w:t>
      </w:r>
      <w:r w:rsidR="00C26A70">
        <w:t xml:space="preserve"> této lokalitě </w:t>
      </w:r>
      <w:r w:rsidRPr="00181A13">
        <w:t>stanoven na 185 000 Kč.</w:t>
      </w:r>
    </w:p>
    <w:p w:rsidR="00DB6FA1" w:rsidRDefault="00DB6FA1" w:rsidP="004E3A1A">
      <w:pPr>
        <w:pStyle w:val="vlevo"/>
        <w:rPr>
          <w:u w:val="single"/>
        </w:rPr>
      </w:pPr>
    </w:p>
    <w:p w:rsidR="00894811" w:rsidRPr="004E3A1A" w:rsidRDefault="00894811" w:rsidP="004E3A1A">
      <w:pPr>
        <w:pStyle w:val="vlevo"/>
        <w:rPr>
          <w:u w:val="single"/>
        </w:rPr>
      </w:pPr>
      <w:r w:rsidRPr="004E3A1A">
        <w:rPr>
          <w:u w:val="single"/>
        </w:rPr>
        <w:t xml:space="preserve">Vzhledem ke skutečnosti, že </w:t>
      </w:r>
      <w:r w:rsidR="00704617">
        <w:rPr>
          <w:u w:val="single"/>
        </w:rPr>
        <w:t>posuzované i vykupované pozemky (součást garáž) mají různé</w:t>
      </w:r>
      <w:r w:rsidR="00A64B40">
        <w:rPr>
          <w:u w:val="single"/>
        </w:rPr>
        <w:t> </w:t>
      </w:r>
      <w:r w:rsidR="00704617">
        <w:rPr>
          <w:u w:val="single"/>
        </w:rPr>
        <w:t>výměry od</w:t>
      </w:r>
      <w:r w:rsidRPr="004E3A1A">
        <w:rPr>
          <w:u w:val="single"/>
        </w:rPr>
        <w:t xml:space="preserve"> 16 m</w:t>
      </w:r>
      <w:r w:rsidR="00A64B40">
        <w:rPr>
          <w:u w:val="single"/>
          <w:vertAlign w:val="superscript"/>
        </w:rPr>
        <w:t>2</w:t>
      </w:r>
      <w:r w:rsidRPr="004E3A1A">
        <w:rPr>
          <w:u w:val="single"/>
        </w:rPr>
        <w:t xml:space="preserve"> až </w:t>
      </w:r>
      <w:r w:rsidR="00704617">
        <w:rPr>
          <w:u w:val="single"/>
        </w:rPr>
        <w:t xml:space="preserve">po </w:t>
      </w:r>
      <w:r w:rsidRPr="004E3A1A">
        <w:rPr>
          <w:u w:val="single"/>
        </w:rPr>
        <w:t xml:space="preserve">23 </w:t>
      </w:r>
      <w:r w:rsidR="004E3A1A" w:rsidRPr="004E3A1A">
        <w:rPr>
          <w:u w:val="single"/>
        </w:rPr>
        <w:t>m</w:t>
      </w:r>
      <w:r w:rsidR="004E3A1A" w:rsidRPr="004E3A1A">
        <w:rPr>
          <w:u w:val="single"/>
          <w:vertAlign w:val="superscript"/>
        </w:rPr>
        <w:t>2</w:t>
      </w:r>
      <w:r w:rsidRPr="004E3A1A">
        <w:rPr>
          <w:u w:val="single"/>
        </w:rPr>
        <w:t>, navrhujeme jako nabídkovou smluvní cenu stanovit částku za 1</w:t>
      </w:r>
      <w:r w:rsidR="00A64B40">
        <w:rPr>
          <w:u w:val="single"/>
        </w:rPr>
        <w:t> </w:t>
      </w:r>
      <w:r w:rsidR="004E3A1A" w:rsidRPr="004E3A1A">
        <w:rPr>
          <w:u w:val="single"/>
        </w:rPr>
        <w:t>m</w:t>
      </w:r>
      <w:r w:rsidR="004E3A1A" w:rsidRPr="004E3A1A">
        <w:rPr>
          <w:u w:val="single"/>
          <w:vertAlign w:val="superscript"/>
        </w:rPr>
        <w:t>2</w:t>
      </w:r>
      <w:r w:rsidR="00704617">
        <w:rPr>
          <w:u w:val="single"/>
        </w:rPr>
        <w:t xml:space="preserve"> plochy pozemku</w:t>
      </w:r>
      <w:r w:rsidR="00D05306">
        <w:rPr>
          <w:u w:val="single"/>
        </w:rPr>
        <w:t xml:space="preserve"> tj. 185 000 : 20 = 9 25</w:t>
      </w:r>
      <w:r w:rsidRPr="004E3A1A">
        <w:rPr>
          <w:u w:val="single"/>
        </w:rPr>
        <w:t>0 Kč/</w:t>
      </w:r>
      <w:r w:rsidR="004E3A1A" w:rsidRPr="004E3A1A">
        <w:rPr>
          <w:u w:val="single"/>
        </w:rPr>
        <w:t xml:space="preserve"> m</w:t>
      </w:r>
      <w:r w:rsidR="004E3A1A" w:rsidRPr="004E3A1A">
        <w:rPr>
          <w:u w:val="single"/>
          <w:vertAlign w:val="superscript"/>
        </w:rPr>
        <w:t>2</w:t>
      </w:r>
      <w:r w:rsidRPr="004E3A1A">
        <w:rPr>
          <w:u w:val="single"/>
        </w:rPr>
        <w:t xml:space="preserve"> plochy</w:t>
      </w:r>
      <w:r w:rsidR="00704617">
        <w:rPr>
          <w:u w:val="single"/>
        </w:rPr>
        <w:t xml:space="preserve"> pozemku</w:t>
      </w:r>
      <w:r w:rsidRPr="004E3A1A">
        <w:rPr>
          <w:u w:val="single"/>
        </w:rPr>
        <w:t>.</w:t>
      </w:r>
    </w:p>
    <w:p w:rsidR="001562D5" w:rsidRDefault="001562D5" w:rsidP="004E3A1A">
      <w:pPr>
        <w:pStyle w:val="vlevo"/>
      </w:pPr>
    </w:p>
    <w:p w:rsidR="004E3A1A" w:rsidRDefault="004E3A1A" w:rsidP="004E3A1A">
      <w:pPr>
        <w:pStyle w:val="vlevo"/>
      </w:pPr>
      <w:r>
        <w:t>Tato cena by se vztahovala na řadové</w:t>
      </w:r>
      <w:r w:rsidR="0041562B">
        <w:t>, běžné garáže viz úseky 1, 2, 3, a 4</w:t>
      </w:r>
      <w:r w:rsidR="009C157A">
        <w:t xml:space="preserve"> viz příloha č. 7.</w:t>
      </w:r>
      <w:r w:rsidR="009A0067">
        <w:t xml:space="preserve"> </w:t>
      </w:r>
      <w:r>
        <w:t>Nevz</w:t>
      </w:r>
      <w:r w:rsidR="00145FCC">
        <w:t xml:space="preserve">tahovala by se na </w:t>
      </w:r>
      <w:r w:rsidR="00704617">
        <w:t>pozemky s garážemi halovými</w:t>
      </w:r>
      <w:r w:rsidR="00145FCC">
        <w:t xml:space="preserve"> a vyjma 1 </w:t>
      </w:r>
      <w:proofErr w:type="gramStart"/>
      <w:r w:rsidR="00704617">
        <w:t>pozemku(součást</w:t>
      </w:r>
      <w:proofErr w:type="gramEnd"/>
      <w:r w:rsidR="00704617">
        <w:t xml:space="preserve"> garáž)</w:t>
      </w:r>
      <w:r w:rsidR="009A0067">
        <w:t xml:space="preserve"> </w:t>
      </w:r>
      <w:r w:rsidR="00D01D2C">
        <w:t xml:space="preserve">ani na </w:t>
      </w:r>
      <w:r w:rsidR="00704617">
        <w:t>tyto nemovitosti</w:t>
      </w:r>
      <w:r w:rsidR="009A0067">
        <w:t xml:space="preserve"> ležící</w:t>
      </w:r>
      <w:r w:rsidR="00145FCC">
        <w:t xml:space="preserve"> v k.</w:t>
      </w:r>
      <w:r w:rsidR="00A64B40">
        <w:t xml:space="preserve"> </w:t>
      </w:r>
      <w:proofErr w:type="spellStart"/>
      <w:r w:rsidR="00EE63C3">
        <w:t>ú.</w:t>
      </w:r>
      <w:proofErr w:type="spellEnd"/>
      <w:r w:rsidR="00EE63C3">
        <w:t xml:space="preserve"> </w:t>
      </w:r>
      <w:proofErr w:type="spellStart"/>
      <w:r w:rsidR="00EE63C3">
        <w:t>Božkov</w:t>
      </w:r>
      <w:proofErr w:type="spellEnd"/>
      <w:r w:rsidR="00EE63C3">
        <w:t>,</w:t>
      </w:r>
      <w:r w:rsidR="009C157A">
        <w:t xml:space="preserve"> </w:t>
      </w:r>
      <w:proofErr w:type="gramStart"/>
      <w:r w:rsidR="00145FCC">
        <w:t>jejichž</w:t>
      </w:r>
      <w:proofErr w:type="gramEnd"/>
      <w:r w:rsidR="00145FCC">
        <w:t xml:space="preserve"> řešení bude komplikovanější</w:t>
      </w:r>
      <w:r w:rsidR="00A64B40">
        <w:t>,</w:t>
      </w:r>
      <w:r w:rsidR="00145FCC">
        <w:t xml:space="preserve"> neboť jsou umístěny z části na pozemku Českých drah, z části na pozemku MP</w:t>
      </w:r>
      <w:r w:rsidR="00D36E12">
        <w:t>,</w:t>
      </w:r>
      <w:r w:rsidR="00145FCC">
        <w:t xml:space="preserve"> a byť vypadají jako běžné řadové garáže, jsou dle zjištění některé z nich vedeny jako garáže halové.</w:t>
      </w:r>
    </w:p>
    <w:p w:rsidR="00F63544" w:rsidRDefault="00F63544" w:rsidP="004E3A1A">
      <w:pPr>
        <w:pStyle w:val="vlevo"/>
      </w:pPr>
      <w:r>
        <w:t xml:space="preserve">V uvedených úsecích jsou </w:t>
      </w:r>
      <w:proofErr w:type="gramStart"/>
      <w:r>
        <w:t>pozemky</w:t>
      </w:r>
      <w:r w:rsidR="00704617">
        <w:t xml:space="preserve"> ( součást</w:t>
      </w:r>
      <w:proofErr w:type="gramEnd"/>
      <w:r w:rsidR="00704617">
        <w:t xml:space="preserve"> garáž)</w:t>
      </w:r>
      <w:r>
        <w:t xml:space="preserve"> o následujících výměrách:</w:t>
      </w:r>
    </w:p>
    <w:p w:rsidR="00F63544" w:rsidRDefault="00F63544" w:rsidP="004E3A1A">
      <w:pPr>
        <w:pStyle w:val="vlevo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299"/>
        <w:gridCol w:w="829"/>
        <w:gridCol w:w="1342"/>
      </w:tblGrid>
      <w:tr w:rsidR="00F63544" w:rsidRPr="00F63544" w:rsidTr="00FD175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544" w:rsidRPr="008A25B4" w:rsidRDefault="008A25B4" w:rsidP="00F63544">
            <w:pPr>
              <w:ind w:firstLine="0"/>
              <w:rPr>
                <w:rFonts w:ascii="Calibri" w:hAnsi="Calibri"/>
                <w:b/>
                <w:bCs/>
                <w:color w:val="000000"/>
                <w:sz w:val="20"/>
                <w:vertAlign w:val="superscrip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výměry v m</w:t>
            </w:r>
            <w:r>
              <w:rPr>
                <w:rFonts w:ascii="Calibri" w:hAnsi="Calibr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D1754">
              <w:rPr>
                <w:rFonts w:ascii="Calibri" w:hAnsi="Calibri"/>
                <w:b/>
                <w:bCs/>
                <w:color w:val="000000"/>
                <w:sz w:val="20"/>
              </w:rPr>
              <w:t>částka za 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D1754">
              <w:rPr>
                <w:rFonts w:ascii="Calibri" w:hAnsi="Calibri"/>
                <w:b/>
                <w:bCs/>
                <w:color w:val="000000"/>
                <w:sz w:val="20"/>
              </w:rPr>
              <w:t>Počet ks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D1754">
              <w:rPr>
                <w:rFonts w:ascii="Calibri" w:hAnsi="Calibri"/>
                <w:b/>
                <w:bCs/>
                <w:color w:val="000000"/>
                <w:sz w:val="20"/>
              </w:rPr>
              <w:t>celková částka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  46 250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  46 250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111 000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111 000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148 000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2 516 000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157 250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1 415 250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166 500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7 159 500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175 750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2 284 750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185 000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1 480 000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194 250 Kč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194 250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203 500 Kč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color w:val="000000"/>
                <w:sz w:val="20"/>
              </w:rPr>
            </w:pPr>
            <w:r w:rsidRPr="00FD1754">
              <w:rPr>
                <w:rFonts w:ascii="Calibri" w:hAnsi="Calibri"/>
                <w:color w:val="000000"/>
                <w:sz w:val="20"/>
              </w:rPr>
              <w:t xml:space="preserve">      407 000 Kč </w:t>
            </w:r>
          </w:p>
        </w:tc>
      </w:tr>
      <w:tr w:rsidR="00F63544" w:rsidRPr="00F63544" w:rsidTr="00FD17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D1754">
              <w:rPr>
                <w:rFonts w:ascii="Calibri" w:hAnsi="Calibri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44" w:rsidRPr="00FD1754" w:rsidRDefault="00F63544" w:rsidP="00F63544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D1754">
              <w:rPr>
                <w:rFonts w:ascii="Calibri" w:hAnsi="Calibri"/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544" w:rsidRPr="00FD1754" w:rsidRDefault="00F63544" w:rsidP="00F63544">
            <w:pPr>
              <w:ind w:firstLine="0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D1754">
              <w:rPr>
                <w:rFonts w:ascii="Calibri" w:hAnsi="Calibri"/>
                <w:b/>
                <w:bCs/>
                <w:color w:val="000000"/>
                <w:sz w:val="20"/>
              </w:rPr>
              <w:t xml:space="preserve">15 614 000 Kč </w:t>
            </w:r>
          </w:p>
        </w:tc>
      </w:tr>
    </w:tbl>
    <w:p w:rsidR="00F63544" w:rsidRDefault="00F63544" w:rsidP="004E3A1A">
      <w:pPr>
        <w:pStyle w:val="vlevo"/>
      </w:pPr>
    </w:p>
    <w:p w:rsidR="001562D5" w:rsidRDefault="001562D5" w:rsidP="004E3A1A">
      <w:pPr>
        <w:pStyle w:val="vlevo"/>
      </w:pPr>
      <w:r>
        <w:t>Schválením této jednot</w:t>
      </w:r>
      <w:r w:rsidR="007A051B">
        <w:t xml:space="preserve">kové ceny a zároveň schválením seznamu </w:t>
      </w:r>
      <w:proofErr w:type="gramStart"/>
      <w:r w:rsidR="00B3781D">
        <w:t>pozemků ( součástí</w:t>
      </w:r>
      <w:proofErr w:type="gramEnd"/>
      <w:r w:rsidR="00B3781D">
        <w:t xml:space="preserve"> jsou garáže) </w:t>
      </w:r>
      <w:r w:rsidR="0041562B">
        <w:t xml:space="preserve">a vypočtené kupní ceny </w:t>
      </w:r>
      <w:r w:rsidR="00DB6FA1">
        <w:t>v usnesení ZMP by bylo město (</w:t>
      </w:r>
      <w:r w:rsidR="007A051B">
        <w:t xml:space="preserve">MAJ MMP) připraveno uzavírat rovnou jednotlivé kupní smlouvy ve velmi krátkém čase. Tento postup a rozhodnutí orgánů města by bylo vlastníkům oznámeno písemně jako závazná nabídka, a pokud by vlastník souhlasil, </w:t>
      </w:r>
      <w:proofErr w:type="gramStart"/>
      <w:r w:rsidR="00CF0910">
        <w:t>mohl</w:t>
      </w:r>
      <w:proofErr w:type="gramEnd"/>
      <w:r w:rsidR="00CF0910">
        <w:t xml:space="preserve"> by pak </w:t>
      </w:r>
      <w:proofErr w:type="gramStart"/>
      <w:r w:rsidR="00CF0910">
        <w:t>MAJ</w:t>
      </w:r>
      <w:proofErr w:type="gramEnd"/>
      <w:r w:rsidR="00DB6FA1">
        <w:t xml:space="preserve"> </w:t>
      </w:r>
      <w:r w:rsidR="007A051B">
        <w:t>velmi rychle kupní smlouvu z</w:t>
      </w:r>
      <w:r w:rsidR="00DB6FA1">
        <w:t>pracovat a uzavřít</w:t>
      </w:r>
      <w:r w:rsidR="007A051B">
        <w:t>.</w:t>
      </w:r>
    </w:p>
    <w:p w:rsidR="00DB6FA1" w:rsidRDefault="00DB6FA1" w:rsidP="004E3A1A">
      <w:pPr>
        <w:pStyle w:val="vlevo"/>
      </w:pPr>
    </w:p>
    <w:p w:rsidR="007A051B" w:rsidRPr="002718CE" w:rsidRDefault="007A051B" w:rsidP="004E3A1A">
      <w:pPr>
        <w:pStyle w:val="vlevo"/>
      </w:pPr>
      <w:r>
        <w:t>Pokud by na tento postup a tuto cenu přistoupilo 50 – 75 % vlastníků, znamenalo by to velký posun v majet</w:t>
      </w:r>
      <w:r w:rsidR="003E3B11">
        <w:t>kové přípravě stavby Průtah</w:t>
      </w:r>
      <w:r>
        <w:t xml:space="preserve"> silnic</w:t>
      </w:r>
      <w:r w:rsidR="003E3B11">
        <w:t xml:space="preserve">e I/20, úsek </w:t>
      </w:r>
      <w:r w:rsidR="003E3B11" w:rsidRPr="002718CE">
        <w:t>Jasmínová – Jateční</w:t>
      </w:r>
      <w:r w:rsidRPr="002718CE">
        <w:t>.</w:t>
      </w:r>
    </w:p>
    <w:p w:rsidR="00DB6FA1" w:rsidRDefault="00DB6FA1" w:rsidP="004E3A1A">
      <w:pPr>
        <w:pStyle w:val="vlevo"/>
      </w:pPr>
    </w:p>
    <w:p w:rsidR="00BB6A58" w:rsidRPr="00FF7237" w:rsidRDefault="00BB6A58" w:rsidP="00BB6A58">
      <w:pPr>
        <w:pStyle w:val="vlevo"/>
      </w:pPr>
      <w:r w:rsidRPr="00FF7237">
        <w:t>Dalším bonusem pro prodáva</w:t>
      </w:r>
      <w:r w:rsidR="00CF0910" w:rsidRPr="00FF7237">
        <w:t>jící, který by je mohl k rychlému</w:t>
      </w:r>
      <w:r w:rsidRPr="00FF7237">
        <w:t xml:space="preserve"> prodeji motivovat, by měla být v případě jeji</w:t>
      </w:r>
      <w:r w:rsidR="00B3781D">
        <w:t>ch zájmu možnost výpůjčky pozemku (součástí garáž)</w:t>
      </w:r>
      <w:r w:rsidRPr="00FF7237">
        <w:t xml:space="preserve"> až do doby, kdy bude před samotnou stavbou resp. demolicí objekt </w:t>
      </w:r>
      <w:r w:rsidR="005C7881" w:rsidRPr="00FF7237">
        <w:t xml:space="preserve">nutné </w:t>
      </w:r>
      <w:r w:rsidRPr="00FF7237">
        <w:t>vyklidit, nejdéle však do 30. 6. 2021</w:t>
      </w:r>
      <w:r w:rsidR="005C7881" w:rsidRPr="00FF7237">
        <w:t>.</w:t>
      </w:r>
      <w:r w:rsidRPr="00FF7237">
        <w:t xml:space="preserve"> </w:t>
      </w:r>
      <w:r w:rsidR="005C7881" w:rsidRPr="00FF7237">
        <w:t>P</w:t>
      </w:r>
      <w:r w:rsidRPr="00FF7237">
        <w:t>o uplynutí tohoto data v případě dalšího zájmu o užívání</w:t>
      </w:r>
      <w:r w:rsidR="00B3781D">
        <w:t xml:space="preserve"> a</w:t>
      </w:r>
      <w:r w:rsidRPr="00FF7237">
        <w:t xml:space="preserve"> </w:t>
      </w:r>
      <w:r w:rsidR="005C7881" w:rsidRPr="00FF7237">
        <w:t>s ohledem na termín</w:t>
      </w:r>
      <w:r w:rsidRPr="00FF7237">
        <w:t xml:space="preserve"> </w:t>
      </w:r>
      <w:r w:rsidR="005C7881" w:rsidRPr="00FF7237">
        <w:t>zahájení</w:t>
      </w:r>
      <w:r w:rsidRPr="00FF7237">
        <w:t xml:space="preserve"> výstavb</w:t>
      </w:r>
      <w:r w:rsidR="005C7881" w:rsidRPr="00FF7237">
        <w:t>y</w:t>
      </w:r>
      <w:r w:rsidRPr="00FF7237">
        <w:t xml:space="preserve"> </w:t>
      </w:r>
      <w:r w:rsidR="005C7881" w:rsidRPr="00FF7237">
        <w:t xml:space="preserve">by </w:t>
      </w:r>
      <w:r w:rsidRPr="00FF7237">
        <w:t xml:space="preserve">mohla být s uživatelem uzavřena smlouva o nájmu. </w:t>
      </w:r>
      <w:r w:rsidR="005C7881" w:rsidRPr="00FF7237">
        <w:t>Tento postup by pro město přinesl benefit v minimalizaci provozních nákladů</w:t>
      </w:r>
      <w:r w:rsidR="00B3781D">
        <w:t xml:space="preserve"> na zajištění vykoupených nemovitostí</w:t>
      </w:r>
      <w:r w:rsidR="005C7881" w:rsidRPr="00FF7237">
        <w:t xml:space="preserve"> proti vandalismu. </w:t>
      </w:r>
    </w:p>
    <w:p w:rsidR="008767E3" w:rsidRDefault="008767E3" w:rsidP="004E3A1A">
      <w:pPr>
        <w:pStyle w:val="vlevo"/>
      </w:pPr>
    </w:p>
    <w:p w:rsidR="00DB6FA1" w:rsidRDefault="008767E3" w:rsidP="004E3A1A">
      <w:pPr>
        <w:pStyle w:val="vlevo"/>
      </w:pPr>
      <w:r>
        <w:t>Vzhledem ke skutečnosti,</w:t>
      </w:r>
      <w:r w:rsidR="00381835">
        <w:t xml:space="preserve"> že tato investiční akce bude realizována převážně ČR – ŘSD a ve spolupráci s městem Plzní, bude větší rozsah vykoupených pozemků před vydáním stavebního povolení převedena – prodána ČR ŘSD stejně, jako tomu bylo u úseku </w:t>
      </w:r>
      <w:r w:rsidR="00381835" w:rsidRPr="00381835">
        <w:t xml:space="preserve">I/20 Plaská </w:t>
      </w:r>
      <w:r w:rsidR="00381835" w:rsidRPr="00381835">
        <w:lastRenderedPageBreak/>
        <w:t>- Chrástecká, II. etapa</w:t>
      </w:r>
      <w:r w:rsidR="00381835">
        <w:t xml:space="preserve">. Tím se značná část vynaložených finančních prostředků vrátí městu zpět.  </w:t>
      </w:r>
    </w:p>
    <w:p w:rsidR="00B3781D" w:rsidRDefault="00B3781D" w:rsidP="004E3A1A">
      <w:pPr>
        <w:pStyle w:val="vlevo"/>
      </w:pPr>
    </w:p>
    <w:p w:rsidR="008767E3" w:rsidRDefault="00381835" w:rsidP="004E3A1A">
      <w:pPr>
        <w:pStyle w:val="vlevo"/>
      </w:pPr>
      <w:r>
        <w:t>ŘSD</w:t>
      </w:r>
      <w:r w:rsidR="00FB22AC">
        <w:t xml:space="preserve"> ale</w:t>
      </w:r>
      <w:r>
        <w:t xml:space="preserve"> může započít s</w:t>
      </w:r>
      <w:r w:rsidR="00FB22AC">
        <w:t> </w:t>
      </w:r>
      <w:r>
        <w:t>výkupy</w:t>
      </w:r>
      <w:r w:rsidR="00FB22AC">
        <w:t xml:space="preserve"> až po nabytí právní moci územního rozhodnutí, což je dle informací ŘSD</w:t>
      </w:r>
      <w:r w:rsidR="00B3781D">
        <w:t xml:space="preserve"> viz příloha č. 4</w:t>
      </w:r>
      <w:r w:rsidR="00FB22AC">
        <w:t xml:space="preserve"> pravděpodobně v roce 2021.</w:t>
      </w:r>
    </w:p>
    <w:p w:rsidR="001562D5" w:rsidRDefault="001562D5" w:rsidP="004E3A1A">
      <w:pPr>
        <w:pStyle w:val="vlevo"/>
      </w:pPr>
    </w:p>
    <w:p w:rsidR="00EE63C3" w:rsidRDefault="00EE63C3" w:rsidP="00EE63C3">
      <w:pPr>
        <w:pStyle w:val="vlevo"/>
      </w:pPr>
      <w:r>
        <w:t xml:space="preserve">V době zpracování tohoto materiálu nebylo </w:t>
      </w:r>
      <w:r w:rsidR="008A25B4">
        <w:t>usnesení RMP ze dne 2</w:t>
      </w:r>
      <w:r>
        <w:t>1. 6. 2018 k dispozici.</w:t>
      </w:r>
    </w:p>
    <w:p w:rsidR="00EE63C3" w:rsidRDefault="00EE63C3" w:rsidP="004E3A1A">
      <w:pPr>
        <w:pStyle w:val="vlevo"/>
      </w:pPr>
    </w:p>
    <w:p w:rsidR="00B3781D" w:rsidRDefault="00B3781D" w:rsidP="004E3A1A">
      <w:pPr>
        <w:pStyle w:val="vlevo"/>
      </w:pPr>
    </w:p>
    <w:p w:rsidR="00815F5F" w:rsidRDefault="00815F5F" w:rsidP="00815F5F">
      <w:pPr>
        <w:pStyle w:val="ostzahl"/>
        <w:ind w:left="426"/>
      </w:pPr>
      <w:r>
        <w:t>Předpokládaný cílový stav</w:t>
      </w:r>
    </w:p>
    <w:p w:rsidR="00815F5F" w:rsidRDefault="007A051B" w:rsidP="004E3A1A">
      <w:pPr>
        <w:pStyle w:val="vlevo"/>
      </w:pPr>
      <w:r>
        <w:t xml:space="preserve">Získání maximálního počtu </w:t>
      </w:r>
      <w:r w:rsidR="00815F5F">
        <w:t xml:space="preserve">pozemků vč. staveb garáží v k. </w:t>
      </w:r>
      <w:proofErr w:type="spellStart"/>
      <w:r w:rsidR="00815F5F">
        <w:t>ú.</w:t>
      </w:r>
      <w:proofErr w:type="spellEnd"/>
      <w:r w:rsidR="00815F5F">
        <w:t xml:space="preserve"> Hradiště u Plzně</w:t>
      </w:r>
      <w:r w:rsidR="00B46D11">
        <w:t xml:space="preserve">, v k. </w:t>
      </w:r>
      <w:proofErr w:type="spellStart"/>
      <w:r w:rsidR="00B46D11">
        <w:t>ú.</w:t>
      </w:r>
      <w:proofErr w:type="spellEnd"/>
      <w:r w:rsidR="00B46D11">
        <w:t xml:space="preserve"> </w:t>
      </w:r>
      <w:proofErr w:type="spellStart"/>
      <w:r w:rsidR="00B46D11">
        <w:t>Božkov</w:t>
      </w:r>
      <w:proofErr w:type="spellEnd"/>
      <w:r w:rsidR="00815F5F">
        <w:t xml:space="preserve"> a v k. </w:t>
      </w:r>
      <w:proofErr w:type="spellStart"/>
      <w:r w:rsidR="00815F5F">
        <w:t>ú.</w:t>
      </w:r>
      <w:proofErr w:type="spellEnd"/>
      <w:r w:rsidR="00815F5F">
        <w:t xml:space="preserve"> Plzeň pro výstavbu koridoru I/20</w:t>
      </w:r>
      <w:r>
        <w:t>.</w:t>
      </w:r>
      <w:r w:rsidR="00815F5F">
        <w:t xml:space="preserve"> </w:t>
      </w:r>
    </w:p>
    <w:p w:rsidR="007A051B" w:rsidRDefault="007A051B" w:rsidP="004E3A1A">
      <w:pPr>
        <w:pStyle w:val="vlevo"/>
      </w:pPr>
    </w:p>
    <w:p w:rsidR="00B3781D" w:rsidRDefault="00B3781D" w:rsidP="004E3A1A">
      <w:pPr>
        <w:pStyle w:val="vlevo"/>
      </w:pPr>
    </w:p>
    <w:p w:rsidR="00815F5F" w:rsidRDefault="00815F5F" w:rsidP="00815F5F">
      <w:pPr>
        <w:pStyle w:val="ostzahl"/>
        <w:ind w:left="426"/>
      </w:pPr>
      <w:r>
        <w:t>Navrhované varianty řešení</w:t>
      </w:r>
    </w:p>
    <w:p w:rsidR="009C157A" w:rsidRDefault="009C157A" w:rsidP="009C157A">
      <w:pPr>
        <w:pStyle w:val="ostzahl"/>
        <w:numPr>
          <w:ilvl w:val="0"/>
          <w:numId w:val="0"/>
        </w:numPr>
        <w:jc w:val="both"/>
        <w:rPr>
          <w:b w:val="0"/>
          <w:spacing w:val="0"/>
        </w:rPr>
      </w:pPr>
      <w:r w:rsidRPr="009C157A">
        <w:rPr>
          <w:b w:val="0"/>
          <w:spacing w:val="0"/>
        </w:rPr>
        <w:t>Není předkládáno variantní řešení. Návrh usnesení je v souladu s doporučením KNM RMP a odsouhlasený RMP.</w:t>
      </w:r>
    </w:p>
    <w:p w:rsidR="009C157A" w:rsidRPr="009C157A" w:rsidRDefault="009C157A" w:rsidP="009C157A">
      <w:pPr>
        <w:pStyle w:val="vlevo"/>
      </w:pPr>
    </w:p>
    <w:p w:rsidR="00815F5F" w:rsidRDefault="00815F5F" w:rsidP="00815F5F">
      <w:pPr>
        <w:pStyle w:val="ostzahl"/>
        <w:ind w:left="426"/>
      </w:pPr>
      <w:r>
        <w:t>Doporučená varianta řešení</w:t>
      </w:r>
    </w:p>
    <w:p w:rsidR="00BB6A58" w:rsidRDefault="00EE63C3" w:rsidP="00EE63C3">
      <w:pPr>
        <w:pStyle w:val="Odstavecseseznamem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Viz návrh usnesení.</w:t>
      </w:r>
    </w:p>
    <w:p w:rsidR="00EE63C3" w:rsidRDefault="00EE63C3" w:rsidP="00EE63C3">
      <w:pPr>
        <w:pStyle w:val="Odstavecseseznamem"/>
        <w:ind w:left="0" w:firstLine="0"/>
        <w:jc w:val="both"/>
        <w:rPr>
          <w:sz w:val="24"/>
          <w:szCs w:val="24"/>
        </w:rPr>
      </w:pPr>
    </w:p>
    <w:p w:rsidR="00815F5F" w:rsidRDefault="00815F5F" w:rsidP="00815F5F">
      <w:pPr>
        <w:pStyle w:val="ostzahl"/>
        <w:ind w:left="426"/>
      </w:pPr>
      <w:r>
        <w:t>Finanční nároky řešení a možnosti finančního krytí</w:t>
      </w:r>
    </w:p>
    <w:p w:rsidR="000F58BB" w:rsidRDefault="000F58BB" w:rsidP="004E3A1A">
      <w:pPr>
        <w:pStyle w:val="vlevo"/>
      </w:pPr>
      <w:r>
        <w:t xml:space="preserve">V případě schválení ceny </w:t>
      </w:r>
      <w:r w:rsidR="009A0067">
        <w:t xml:space="preserve">a postupu by na výkupy všech 95 </w:t>
      </w:r>
      <w:r w:rsidR="00B46D11">
        <w:t xml:space="preserve">pozemků, jejichž součástí jsou </w:t>
      </w:r>
      <w:r w:rsidR="009A0067">
        <w:t>garáž</w:t>
      </w:r>
      <w:r w:rsidR="00B46D11">
        <w:t>e</w:t>
      </w:r>
      <w:r>
        <w:t>, jak jsou uvedené v příloze č. 1</w:t>
      </w:r>
      <w:r w:rsidR="00E26542">
        <w:t>,</w:t>
      </w:r>
      <w:r w:rsidR="00C11229">
        <w:t xml:space="preserve"> mělo být vynaloženo </w:t>
      </w:r>
      <w:r w:rsidR="009A0067" w:rsidRPr="009A0067">
        <w:t>15</w:t>
      </w:r>
      <w:r w:rsidR="009A0067">
        <w:t> </w:t>
      </w:r>
      <w:r w:rsidR="009A0067" w:rsidRPr="009A0067">
        <w:t>623</w:t>
      </w:r>
      <w:r w:rsidR="009A0067">
        <w:t xml:space="preserve"> </w:t>
      </w:r>
      <w:r w:rsidR="009A0067" w:rsidRPr="009A0067">
        <w:t>250</w:t>
      </w:r>
      <w:r>
        <w:t xml:space="preserve"> Kč. </w:t>
      </w:r>
    </w:p>
    <w:p w:rsidR="00815F5F" w:rsidRDefault="00CF0910" w:rsidP="004E3A1A">
      <w:pPr>
        <w:pStyle w:val="vlevo"/>
      </w:pPr>
      <w:r>
        <w:t xml:space="preserve">Kupní cena </w:t>
      </w:r>
      <w:proofErr w:type="gramStart"/>
      <w:r>
        <w:t>bude</w:t>
      </w:r>
      <w:proofErr w:type="gramEnd"/>
      <w:r w:rsidR="000F58BB">
        <w:t xml:space="preserve"> hrazena z rozpočtu </w:t>
      </w:r>
      <w:proofErr w:type="gramStart"/>
      <w:r w:rsidR="000F58BB">
        <w:t>MAJ</w:t>
      </w:r>
      <w:proofErr w:type="gramEnd"/>
      <w:r w:rsidR="000F58BB">
        <w:t xml:space="preserve"> MMP</w:t>
      </w:r>
      <w:r w:rsidR="00A60D97">
        <w:t>.</w:t>
      </w:r>
    </w:p>
    <w:p w:rsidR="000F58BB" w:rsidRPr="00815F5F" w:rsidRDefault="000F58BB" w:rsidP="004E3A1A">
      <w:pPr>
        <w:pStyle w:val="vlevo"/>
      </w:pPr>
    </w:p>
    <w:p w:rsidR="00815F5F" w:rsidRDefault="00815F5F" w:rsidP="00815F5F">
      <w:pPr>
        <w:pStyle w:val="ostzahl"/>
        <w:ind w:left="426"/>
      </w:pPr>
      <w:r>
        <w:t>Návrh termínů realizace a určení zodpovědných pracovníků</w:t>
      </w:r>
    </w:p>
    <w:p w:rsidR="008E04A7" w:rsidRDefault="00EE63C3" w:rsidP="004E3A1A">
      <w:pPr>
        <w:pStyle w:val="vlevo"/>
      </w:pPr>
      <w:r>
        <w:t>Viz návrh usnesení.</w:t>
      </w:r>
    </w:p>
    <w:p w:rsidR="00EE63C3" w:rsidRDefault="00EE63C3" w:rsidP="004E3A1A">
      <w:pPr>
        <w:pStyle w:val="vlevo"/>
      </w:pPr>
    </w:p>
    <w:p w:rsidR="00B3781D" w:rsidRDefault="00B3781D" w:rsidP="004E3A1A">
      <w:pPr>
        <w:pStyle w:val="vlevo"/>
      </w:pPr>
    </w:p>
    <w:p w:rsidR="00815F5F" w:rsidRDefault="00815F5F" w:rsidP="00815F5F">
      <w:pPr>
        <w:pStyle w:val="ostzahl"/>
        <w:ind w:left="426"/>
      </w:pPr>
      <w:r>
        <w:t>Dříve přijatá usnesení orgánů města nebo městských obvodů, která s tímto návrhem souvisejí</w:t>
      </w:r>
    </w:p>
    <w:p w:rsidR="00815F5F" w:rsidRDefault="00CF0910" w:rsidP="004E3A1A">
      <w:pPr>
        <w:pStyle w:val="vlevo"/>
        <w:rPr>
          <w:szCs w:val="24"/>
        </w:rPr>
      </w:pPr>
      <w:r>
        <w:rPr>
          <w:szCs w:val="24"/>
        </w:rPr>
        <w:t>RMP č. 666 z 27. 6. 2002</w:t>
      </w:r>
    </w:p>
    <w:p w:rsidR="008047D7" w:rsidRDefault="008047D7" w:rsidP="004E3A1A">
      <w:pPr>
        <w:pStyle w:val="vlevo"/>
      </w:pPr>
    </w:p>
    <w:p w:rsidR="00B3781D" w:rsidRPr="00815F5F" w:rsidRDefault="00B3781D" w:rsidP="004E3A1A">
      <w:pPr>
        <w:pStyle w:val="vlevo"/>
      </w:pPr>
    </w:p>
    <w:p w:rsidR="00815F5F" w:rsidRDefault="00815F5F" w:rsidP="00815F5F">
      <w:pPr>
        <w:pStyle w:val="ostzahl"/>
        <w:ind w:left="426"/>
      </w:pPr>
      <w:r>
        <w:t>Závazky a pohledávky vůči městu Plzeň</w:t>
      </w:r>
    </w:p>
    <w:p w:rsidR="00815F5F" w:rsidRDefault="00CF0910" w:rsidP="004E3A1A">
      <w:pPr>
        <w:pStyle w:val="vlevo"/>
      </w:pPr>
      <w:r>
        <w:t>Nezjišťují se</w:t>
      </w:r>
    </w:p>
    <w:p w:rsidR="00CF0910" w:rsidRPr="00815F5F" w:rsidRDefault="00CF0910" w:rsidP="004E3A1A">
      <w:pPr>
        <w:pStyle w:val="vlevo"/>
      </w:pPr>
    </w:p>
    <w:p w:rsidR="00815F5F" w:rsidRDefault="00815F5F" w:rsidP="00815F5F">
      <w:pPr>
        <w:pStyle w:val="ostzahl"/>
        <w:tabs>
          <w:tab w:val="clear" w:pos="1070"/>
        </w:tabs>
        <w:ind w:left="426"/>
      </w:pPr>
      <w:r>
        <w:t>Přílohy</w:t>
      </w:r>
    </w:p>
    <w:p w:rsidR="008047D7" w:rsidRDefault="008047D7" w:rsidP="004E3A1A">
      <w:pPr>
        <w:pStyle w:val="vlevo"/>
      </w:pPr>
    </w:p>
    <w:p w:rsidR="00232AE9" w:rsidRDefault="008E04A7" w:rsidP="004E3A1A">
      <w:pPr>
        <w:pStyle w:val="vlevo"/>
      </w:pPr>
      <w:r>
        <w:t xml:space="preserve">Příloha č. 1 – </w:t>
      </w:r>
      <w:r w:rsidR="00B3781D">
        <w:t>seznam pozemků (součástí garáž)</w:t>
      </w:r>
    </w:p>
    <w:p w:rsidR="008E04A7" w:rsidRDefault="008E04A7" w:rsidP="004E3A1A">
      <w:pPr>
        <w:pStyle w:val="vlevo"/>
      </w:pPr>
      <w:r>
        <w:t xml:space="preserve">Příloha č. </w:t>
      </w:r>
      <w:r w:rsidR="009C157A">
        <w:t>2</w:t>
      </w:r>
      <w:r>
        <w:t xml:space="preserve"> – schéma úseků silnice I/20</w:t>
      </w:r>
    </w:p>
    <w:p w:rsidR="008E04A7" w:rsidRDefault="009C157A" w:rsidP="004E3A1A">
      <w:pPr>
        <w:pStyle w:val="vlevo"/>
      </w:pPr>
      <w:r>
        <w:t>Příloha č. 3</w:t>
      </w:r>
      <w:r w:rsidR="008E04A7">
        <w:t xml:space="preserve"> – trasa úseku</w:t>
      </w:r>
      <w:r w:rsidR="0015774A">
        <w:t xml:space="preserve"> </w:t>
      </w:r>
      <w:r w:rsidR="008E04A7">
        <w:t>Jasmínová –</w:t>
      </w:r>
      <w:r w:rsidR="0015774A">
        <w:t xml:space="preserve"> J</w:t>
      </w:r>
      <w:r w:rsidR="008E04A7">
        <w:t>ateční v leteckém snímku</w:t>
      </w:r>
    </w:p>
    <w:p w:rsidR="0015774A" w:rsidRDefault="009C157A" w:rsidP="004E3A1A">
      <w:pPr>
        <w:pStyle w:val="vlevo"/>
      </w:pPr>
      <w:r>
        <w:lastRenderedPageBreak/>
        <w:t>Příloha č. 4</w:t>
      </w:r>
      <w:r w:rsidR="0015774A">
        <w:t xml:space="preserve"> – sdělení </w:t>
      </w:r>
      <w:r w:rsidR="00B3781D">
        <w:t>ČR – ŘSD s časovými údaji o přípravě</w:t>
      </w:r>
      <w:r w:rsidR="0015774A">
        <w:t xml:space="preserve"> IA I/20</w:t>
      </w:r>
    </w:p>
    <w:p w:rsidR="00F81413" w:rsidRDefault="009C157A" w:rsidP="004E3A1A">
      <w:pPr>
        <w:pStyle w:val="vlevo"/>
      </w:pPr>
      <w:r>
        <w:t>Příloha č. 5</w:t>
      </w:r>
      <w:r w:rsidR="0015774A">
        <w:t xml:space="preserve"> – </w:t>
      </w:r>
      <w:r w:rsidR="00F81413">
        <w:t>usnesení RMP č. 666 z 27. 6. 2002</w:t>
      </w:r>
    </w:p>
    <w:p w:rsidR="0015774A" w:rsidRDefault="009C157A" w:rsidP="004E3A1A">
      <w:pPr>
        <w:pStyle w:val="vlevo"/>
      </w:pPr>
      <w:r>
        <w:t>Příloha č. 6</w:t>
      </w:r>
      <w:r w:rsidR="00F81413">
        <w:t xml:space="preserve"> - </w:t>
      </w:r>
      <w:r w:rsidR="0015774A">
        <w:t>mapy jednotlivých úseků s dotčenými garážemi</w:t>
      </w:r>
    </w:p>
    <w:p w:rsidR="00E91BBB" w:rsidRDefault="00E91BBB" w:rsidP="004E3A1A">
      <w:pPr>
        <w:pStyle w:val="vlevo"/>
      </w:pPr>
      <w:r>
        <w:t xml:space="preserve">Příloha č. 7 – doporučení KNM ze dne </w:t>
      </w:r>
      <w:proofErr w:type="gramStart"/>
      <w:r>
        <w:t>7.6.2018</w:t>
      </w:r>
      <w:proofErr w:type="gramEnd"/>
    </w:p>
    <w:p w:rsidR="00232AE9" w:rsidRDefault="00232AE9" w:rsidP="004E3A1A">
      <w:pPr>
        <w:pStyle w:val="vlevo"/>
      </w:pPr>
    </w:p>
    <w:p w:rsidR="008047D7" w:rsidRPr="004473AD" w:rsidRDefault="008047D7" w:rsidP="008047D7">
      <w:pPr>
        <w:ind w:firstLine="0"/>
        <w:rPr>
          <w:sz w:val="24"/>
          <w:szCs w:val="24"/>
        </w:rPr>
      </w:pPr>
      <w:r w:rsidRPr="005A5EAA">
        <w:rPr>
          <w:sz w:val="24"/>
          <w:szCs w:val="24"/>
        </w:rPr>
        <w:t>Zprávu zpracoval</w:t>
      </w:r>
      <w:r>
        <w:rPr>
          <w:sz w:val="24"/>
          <w:szCs w:val="24"/>
        </w:rPr>
        <w:t>y</w:t>
      </w:r>
      <w:r w:rsidRPr="005A5EA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Ing. Hasmanová, MAJ MMP</w:t>
      </w:r>
      <w:bookmarkStart w:id="0" w:name="_GoBack"/>
      <w:bookmarkEnd w:id="0"/>
    </w:p>
    <w:p w:rsidR="008047D7" w:rsidRDefault="008047D7" w:rsidP="008047D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Radová, MBA, EVID MMP</w:t>
      </w:r>
    </w:p>
    <w:p w:rsidR="008047D7" w:rsidRDefault="008047D7" w:rsidP="008047D7">
      <w:pPr>
        <w:pStyle w:val="vlevo"/>
      </w:pPr>
    </w:p>
    <w:p w:rsidR="00232AE9" w:rsidRPr="00227AE2" w:rsidRDefault="00232AE9" w:rsidP="004E3A1A">
      <w:pPr>
        <w:pStyle w:val="vlevo"/>
      </w:pPr>
    </w:p>
    <w:sectPr w:rsidR="00232AE9" w:rsidRPr="00227AE2" w:rsidSect="00DE68E8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F" w:rsidRDefault="0028324F">
      <w:r>
        <w:separator/>
      </w:r>
    </w:p>
  </w:endnote>
  <w:endnote w:type="continuationSeparator" w:id="0">
    <w:p w:rsidR="0028324F" w:rsidRDefault="0028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296505"/>
      <w:docPartObj>
        <w:docPartGallery w:val="Page Numbers (Bottom of Page)"/>
        <w:docPartUnique/>
      </w:docPartObj>
    </w:sdtPr>
    <w:sdtEndPr/>
    <w:sdtContent>
      <w:p w:rsidR="006E0AA8" w:rsidRDefault="008767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BB">
          <w:rPr>
            <w:noProof/>
          </w:rPr>
          <w:t>4</w:t>
        </w:r>
        <w:r>
          <w:fldChar w:fldCharType="end"/>
        </w:r>
      </w:p>
    </w:sdtContent>
  </w:sdt>
  <w:p w:rsidR="006E0AA8" w:rsidRDefault="002832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F" w:rsidRDefault="0028324F">
      <w:r>
        <w:separator/>
      </w:r>
    </w:p>
  </w:footnote>
  <w:footnote w:type="continuationSeparator" w:id="0">
    <w:p w:rsidR="0028324F" w:rsidRDefault="0028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440"/>
    <w:multiLevelType w:val="hybridMultilevel"/>
    <w:tmpl w:val="AEF45464"/>
    <w:lvl w:ilvl="0" w:tplc="6BC4A98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C5F6470"/>
    <w:multiLevelType w:val="hybridMultilevel"/>
    <w:tmpl w:val="A7C49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A2FD4"/>
    <w:multiLevelType w:val="singleLevel"/>
    <w:tmpl w:val="BC22000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">
    <w:nsid w:val="75D25A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F"/>
    <w:rsid w:val="00006753"/>
    <w:rsid w:val="000F58BB"/>
    <w:rsid w:val="001151AF"/>
    <w:rsid w:val="00132BCC"/>
    <w:rsid w:val="00145FCC"/>
    <w:rsid w:val="001562D5"/>
    <w:rsid w:val="0015774A"/>
    <w:rsid w:val="00181A13"/>
    <w:rsid w:val="00184D23"/>
    <w:rsid w:val="00223E0A"/>
    <w:rsid w:val="00232AE9"/>
    <w:rsid w:val="00263D02"/>
    <w:rsid w:val="002718CE"/>
    <w:rsid w:val="0028324F"/>
    <w:rsid w:val="002C506F"/>
    <w:rsid w:val="002E00A0"/>
    <w:rsid w:val="002F6DD7"/>
    <w:rsid w:val="00374102"/>
    <w:rsid w:val="00381835"/>
    <w:rsid w:val="003E3B11"/>
    <w:rsid w:val="003F4927"/>
    <w:rsid w:val="0041388E"/>
    <w:rsid w:val="0041562B"/>
    <w:rsid w:val="004656B3"/>
    <w:rsid w:val="00472013"/>
    <w:rsid w:val="00482969"/>
    <w:rsid w:val="004B038D"/>
    <w:rsid w:val="004C7A3A"/>
    <w:rsid w:val="004E3A1A"/>
    <w:rsid w:val="00560475"/>
    <w:rsid w:val="005C7881"/>
    <w:rsid w:val="00640A64"/>
    <w:rsid w:val="006772AB"/>
    <w:rsid w:val="00677558"/>
    <w:rsid w:val="00704617"/>
    <w:rsid w:val="00715889"/>
    <w:rsid w:val="00724964"/>
    <w:rsid w:val="00730D60"/>
    <w:rsid w:val="007430D2"/>
    <w:rsid w:val="007A051B"/>
    <w:rsid w:val="007E0235"/>
    <w:rsid w:val="008047D7"/>
    <w:rsid w:val="0080515B"/>
    <w:rsid w:val="00815F5F"/>
    <w:rsid w:val="008767E3"/>
    <w:rsid w:val="00894811"/>
    <w:rsid w:val="008A25B4"/>
    <w:rsid w:val="008E04A7"/>
    <w:rsid w:val="00941E3C"/>
    <w:rsid w:val="00953819"/>
    <w:rsid w:val="0097750B"/>
    <w:rsid w:val="00982A51"/>
    <w:rsid w:val="009A0067"/>
    <w:rsid w:val="009C157A"/>
    <w:rsid w:val="009E6BD7"/>
    <w:rsid w:val="00A16FE3"/>
    <w:rsid w:val="00A60D97"/>
    <w:rsid w:val="00A64B40"/>
    <w:rsid w:val="00AE7139"/>
    <w:rsid w:val="00B23E02"/>
    <w:rsid w:val="00B3781D"/>
    <w:rsid w:val="00B46D11"/>
    <w:rsid w:val="00B61E10"/>
    <w:rsid w:val="00BB6A58"/>
    <w:rsid w:val="00BE2331"/>
    <w:rsid w:val="00C11229"/>
    <w:rsid w:val="00C11A9F"/>
    <w:rsid w:val="00C26A70"/>
    <w:rsid w:val="00C53B3C"/>
    <w:rsid w:val="00C80130"/>
    <w:rsid w:val="00C95EAB"/>
    <w:rsid w:val="00CF0910"/>
    <w:rsid w:val="00D01D2C"/>
    <w:rsid w:val="00D05306"/>
    <w:rsid w:val="00D36E12"/>
    <w:rsid w:val="00D94FDA"/>
    <w:rsid w:val="00DB6FA1"/>
    <w:rsid w:val="00DD5A47"/>
    <w:rsid w:val="00DE426D"/>
    <w:rsid w:val="00E26542"/>
    <w:rsid w:val="00E705B6"/>
    <w:rsid w:val="00E91BBB"/>
    <w:rsid w:val="00EC3F35"/>
    <w:rsid w:val="00EE63C3"/>
    <w:rsid w:val="00F142FB"/>
    <w:rsid w:val="00F1557F"/>
    <w:rsid w:val="00F275EA"/>
    <w:rsid w:val="00F63544"/>
    <w:rsid w:val="00F81413"/>
    <w:rsid w:val="00FB22AC"/>
    <w:rsid w:val="00FD1754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F5F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F5F"/>
    <w:pPr>
      <w:ind w:left="720"/>
      <w:contextualSpacing/>
    </w:pPr>
  </w:style>
  <w:style w:type="character" w:customStyle="1" w:styleId="vlevoChar">
    <w:name w:val="vlevo Char"/>
    <w:link w:val="vlevo"/>
    <w:locked/>
    <w:rsid w:val="004E3A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E3A1A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815F5F"/>
    <w:pPr>
      <w:numPr>
        <w:numId w:val="1"/>
      </w:numPr>
      <w:tabs>
        <w:tab w:val="clear" w:pos="360"/>
        <w:tab w:val="num" w:pos="1070"/>
      </w:tabs>
      <w:spacing w:before="120" w:after="120"/>
      <w:ind w:left="1067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815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F5F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A1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4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B4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B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B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vol">
    <w:name w:val="odvol"/>
    <w:basedOn w:val="Normln"/>
    <w:rsid w:val="00E26542"/>
    <w:pPr>
      <w:ind w:left="5103"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F5F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F5F"/>
    <w:pPr>
      <w:ind w:left="720"/>
      <w:contextualSpacing/>
    </w:pPr>
  </w:style>
  <w:style w:type="character" w:customStyle="1" w:styleId="vlevoChar">
    <w:name w:val="vlevo Char"/>
    <w:link w:val="vlevo"/>
    <w:locked/>
    <w:rsid w:val="004E3A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4E3A1A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815F5F"/>
    <w:pPr>
      <w:numPr>
        <w:numId w:val="1"/>
      </w:numPr>
      <w:tabs>
        <w:tab w:val="clear" w:pos="360"/>
        <w:tab w:val="num" w:pos="1070"/>
      </w:tabs>
      <w:spacing w:before="120" w:after="120"/>
      <w:ind w:left="1067"/>
    </w:pPr>
    <w:rPr>
      <w:b/>
      <w:spacing w:val="22"/>
      <w:sz w:val="24"/>
    </w:rPr>
  </w:style>
  <w:style w:type="paragraph" w:styleId="Zpat">
    <w:name w:val="footer"/>
    <w:basedOn w:val="Normln"/>
    <w:link w:val="ZpatChar"/>
    <w:uiPriority w:val="99"/>
    <w:unhideWhenUsed/>
    <w:rsid w:val="00815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F5F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A1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4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B4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B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B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vol">
    <w:name w:val="odvol"/>
    <w:basedOn w:val="Normln"/>
    <w:rsid w:val="00E26542"/>
    <w:pPr>
      <w:ind w:left="5103"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1164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Hasmanová Eva</dc:creator>
  <cp:lastModifiedBy>Fotrová Sabina</cp:lastModifiedBy>
  <cp:revision>5</cp:revision>
  <cp:lastPrinted>2018-06-06T13:05:00Z</cp:lastPrinted>
  <dcterms:created xsi:type="dcterms:W3CDTF">2018-06-05T09:37:00Z</dcterms:created>
  <dcterms:modified xsi:type="dcterms:W3CDTF">2018-06-06T13:07:00Z</dcterms:modified>
</cp:coreProperties>
</file>