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77" w:rsidRDefault="00C24E77" w:rsidP="00C24E77">
      <w:pPr>
        <w:pStyle w:val="Nadpis3"/>
      </w:pPr>
      <w:r>
        <w:t>Důvodová zpráva</w:t>
      </w:r>
    </w:p>
    <w:p w:rsidR="00C24E77" w:rsidRDefault="00C24E77" w:rsidP="00C24E77">
      <w:pPr>
        <w:jc w:val="center"/>
        <w:rPr>
          <w:b/>
        </w:rPr>
      </w:pPr>
      <w:r>
        <w:rPr>
          <w:b/>
        </w:rPr>
        <w:t xml:space="preserve"> </w:t>
      </w:r>
    </w:p>
    <w:p w:rsidR="00C24E77" w:rsidRDefault="00C24E77" w:rsidP="00C24E77">
      <w:pPr>
        <w:jc w:val="center"/>
        <w:rPr>
          <w:b/>
        </w:rPr>
      </w:pPr>
    </w:p>
    <w:p w:rsidR="00C24E77" w:rsidRPr="00FA445A" w:rsidRDefault="00C24E77" w:rsidP="00C24E77">
      <w:pPr>
        <w:pStyle w:val="ostzahl"/>
      </w:pPr>
      <w:r>
        <w:t>Název problému a jeho charakteristika</w:t>
      </w:r>
    </w:p>
    <w:p w:rsidR="00C24E77" w:rsidRPr="00507DF7" w:rsidRDefault="00C24E77" w:rsidP="00C24E77">
      <w:pPr>
        <w:tabs>
          <w:tab w:val="left" w:pos="6946"/>
        </w:tabs>
        <w:jc w:val="both"/>
        <w:rPr>
          <w:sz w:val="24"/>
          <w:szCs w:val="24"/>
        </w:rPr>
      </w:pPr>
      <w:r>
        <w:rPr>
          <w:sz w:val="24"/>
          <w:szCs w:val="24"/>
        </w:rPr>
        <w:t xml:space="preserve">Majetkové vypořádání pozemků v k. ú. Plzeň mezi městem Plzní, </w:t>
      </w:r>
      <w:r w:rsidRPr="00FA445A">
        <w:rPr>
          <w:sz w:val="24"/>
          <w:szCs w:val="24"/>
        </w:rPr>
        <w:t>T</w:t>
      </w:r>
      <w:r>
        <w:rPr>
          <w:sz w:val="24"/>
          <w:szCs w:val="24"/>
        </w:rPr>
        <w:t>J</w:t>
      </w:r>
      <w:r w:rsidRPr="00FA445A">
        <w:rPr>
          <w:sz w:val="24"/>
          <w:szCs w:val="24"/>
        </w:rPr>
        <w:t xml:space="preserve"> Prazdroj Plzeň</w:t>
      </w:r>
      <w:r>
        <w:rPr>
          <w:sz w:val="24"/>
          <w:szCs w:val="24"/>
        </w:rPr>
        <w:t xml:space="preserve"> </w:t>
      </w:r>
      <w:r w:rsidRPr="00FA445A">
        <w:rPr>
          <w:sz w:val="24"/>
          <w:szCs w:val="24"/>
        </w:rPr>
        <w:t xml:space="preserve"> </w:t>
      </w:r>
      <w:r>
        <w:rPr>
          <w:sz w:val="24"/>
          <w:szCs w:val="24"/>
        </w:rPr>
        <w:t>z.s.</w:t>
      </w:r>
      <w:r w:rsidRPr="00FA445A">
        <w:rPr>
          <w:sz w:val="24"/>
          <w:szCs w:val="24"/>
        </w:rPr>
        <w:t xml:space="preserve">, IČO 45333416, se sídlem v Plzni, Na Roudné </w:t>
      </w:r>
      <w:r>
        <w:rPr>
          <w:sz w:val="24"/>
          <w:szCs w:val="24"/>
        </w:rPr>
        <w:t>69/57</w:t>
      </w:r>
      <w:r w:rsidRPr="00FA445A">
        <w:rPr>
          <w:sz w:val="24"/>
          <w:szCs w:val="24"/>
        </w:rPr>
        <w:t>, PSČ 301 00</w:t>
      </w:r>
      <w:r>
        <w:rPr>
          <w:sz w:val="24"/>
          <w:szCs w:val="24"/>
        </w:rPr>
        <w:t xml:space="preserve"> (dále jen TJ Prazdroj Plzeň) a SK SPORTCENTRUM ROUDNÁ z.s.,</w:t>
      </w:r>
      <w:r w:rsidRPr="00766520">
        <w:rPr>
          <w:sz w:val="24"/>
          <w:szCs w:val="24"/>
        </w:rPr>
        <w:t xml:space="preserve"> </w:t>
      </w:r>
      <w:r>
        <w:rPr>
          <w:sz w:val="24"/>
          <w:szCs w:val="24"/>
        </w:rPr>
        <w:t xml:space="preserve">IČO 27023192 se sídlem v Plzni, Kotíkovská 1089/58, PSČ 323 00 (dále jen SK), a to formou vzájemných darů v souvislosti s budoucí výstavbou a úpravou komunikací a chodníků v souladu se schválenou územní studií „Plzeň, Karlovarská“ (ÚKRMP, 9/2015) a v souvislosti </w:t>
      </w:r>
      <w:r w:rsidRPr="00FA445A">
        <w:rPr>
          <w:sz w:val="24"/>
          <w:szCs w:val="24"/>
        </w:rPr>
        <w:t>připravovanou IA MO Plzeň 1: „</w:t>
      </w:r>
      <w:r>
        <w:rPr>
          <w:sz w:val="24"/>
          <w:szCs w:val="24"/>
        </w:rPr>
        <w:t>Chodník v ul. Pod Všemi svatými“ včetně zřízení služebností.</w:t>
      </w:r>
    </w:p>
    <w:p w:rsidR="00C24E77" w:rsidRDefault="00C24E77" w:rsidP="00C24E77">
      <w:pPr>
        <w:pStyle w:val="vlevo"/>
      </w:pPr>
    </w:p>
    <w:p w:rsidR="00C24E77" w:rsidRPr="00BB5C0F" w:rsidRDefault="00C24E77" w:rsidP="00C24E77">
      <w:pPr>
        <w:pStyle w:val="ostzahl"/>
      </w:pPr>
      <w:r>
        <w:t>Konstatování současného stavu a jeho analýza</w:t>
      </w:r>
      <w:r w:rsidRPr="00BB5C0F">
        <w:rPr>
          <w:rFonts w:ascii="Arial" w:hAnsi="Arial" w:cs="Arial"/>
          <w:sz w:val="22"/>
          <w:szCs w:val="22"/>
        </w:rPr>
        <w:t xml:space="preserve">  </w:t>
      </w:r>
    </w:p>
    <w:p w:rsidR="00C24E77" w:rsidRDefault="00C24E77" w:rsidP="00C24E77">
      <w:pPr>
        <w:tabs>
          <w:tab w:val="left" w:pos="6946"/>
        </w:tabs>
        <w:jc w:val="both"/>
        <w:rPr>
          <w:rFonts w:ascii="Arial" w:hAnsi="Arial" w:cs="Arial"/>
          <w:sz w:val="22"/>
          <w:szCs w:val="22"/>
        </w:rPr>
      </w:pPr>
      <w:r>
        <w:rPr>
          <w:rFonts w:ascii="Arial" w:hAnsi="Arial" w:cs="Arial"/>
          <w:sz w:val="22"/>
          <w:szCs w:val="22"/>
        </w:rPr>
        <w:t xml:space="preserve"> </w:t>
      </w:r>
      <w:r w:rsidRPr="00507DF7">
        <w:rPr>
          <w:sz w:val="24"/>
          <w:szCs w:val="24"/>
        </w:rPr>
        <w:t>Odbor nabývání majetku MMP (dále jen MAJ MMP) byl požádán Městským obvodem Plzeň 1 o projednání možnosti směny s vlastníkem dotčené části pozemku parc. č. 12062/1 o celkové výměře 7690 m</w:t>
      </w:r>
      <w:r w:rsidRPr="00507DF7">
        <w:rPr>
          <w:sz w:val="24"/>
          <w:szCs w:val="24"/>
          <w:vertAlign w:val="superscript"/>
        </w:rPr>
        <w:t>2</w:t>
      </w:r>
      <w:r w:rsidRPr="00507DF7">
        <w:rPr>
          <w:sz w:val="24"/>
          <w:szCs w:val="24"/>
        </w:rPr>
        <w:t>, ostatní plocha, ostatní komunikace, zaps. na LV č. 12420 pro k.</w:t>
      </w:r>
      <w:r>
        <w:rPr>
          <w:sz w:val="24"/>
          <w:szCs w:val="24"/>
        </w:rPr>
        <w:t xml:space="preserve"> </w:t>
      </w:r>
      <w:r w:rsidRPr="00507DF7">
        <w:rPr>
          <w:sz w:val="24"/>
          <w:szCs w:val="24"/>
        </w:rPr>
        <w:t>ú.</w:t>
      </w:r>
      <w:r>
        <w:rPr>
          <w:sz w:val="24"/>
          <w:szCs w:val="24"/>
        </w:rPr>
        <w:t xml:space="preserve"> Plzeň, TJ Prazdroj Plzeň,</w:t>
      </w:r>
      <w:r w:rsidRPr="00507DF7">
        <w:rPr>
          <w:sz w:val="24"/>
          <w:szCs w:val="24"/>
        </w:rPr>
        <w:t xml:space="preserve"> pro účely rekonstrukce chodníku v ul. Pod Všemi svatými v rámci plánované investiční akce MO Plzeň 1</w:t>
      </w:r>
      <w:r>
        <w:rPr>
          <w:sz w:val="24"/>
          <w:szCs w:val="24"/>
        </w:rPr>
        <w:t xml:space="preserve"> – viz příloha č. 1/1 – 1/3</w:t>
      </w:r>
      <w:r w:rsidRPr="00507DF7">
        <w:rPr>
          <w:sz w:val="24"/>
          <w:szCs w:val="24"/>
        </w:rPr>
        <w:t>.</w:t>
      </w:r>
      <w:r>
        <w:rPr>
          <w:rFonts w:ascii="Arial" w:hAnsi="Arial" w:cs="Arial"/>
          <w:sz w:val="22"/>
          <w:szCs w:val="22"/>
        </w:rPr>
        <w:t xml:space="preserve"> </w:t>
      </w:r>
    </w:p>
    <w:p w:rsidR="00C24E77" w:rsidRPr="00C13E72" w:rsidRDefault="00C24E77" w:rsidP="00C24E77">
      <w:pPr>
        <w:tabs>
          <w:tab w:val="left" w:pos="8364"/>
        </w:tabs>
        <w:jc w:val="both"/>
        <w:rPr>
          <w:i/>
          <w:sz w:val="24"/>
          <w:szCs w:val="24"/>
        </w:rPr>
      </w:pPr>
      <w:r>
        <w:rPr>
          <w:rFonts w:ascii="Arial" w:hAnsi="Arial" w:cs="Arial"/>
          <w:sz w:val="22"/>
          <w:szCs w:val="22"/>
        </w:rPr>
        <w:t>V </w:t>
      </w:r>
      <w:r w:rsidRPr="007147D3">
        <w:rPr>
          <w:sz w:val="24"/>
          <w:szCs w:val="24"/>
        </w:rPr>
        <w:t>průběhu vedených jednání  o konečné podobě směny</w:t>
      </w:r>
      <w:r>
        <w:rPr>
          <w:sz w:val="24"/>
          <w:szCs w:val="24"/>
        </w:rPr>
        <w:t xml:space="preserve"> </w:t>
      </w:r>
      <w:r w:rsidRPr="00013225">
        <w:rPr>
          <w:sz w:val="24"/>
          <w:szCs w:val="24"/>
        </w:rPr>
        <w:t>(historie případu je popsána v příloze č. 6/1- 6/2 )</w:t>
      </w:r>
      <w:r>
        <w:rPr>
          <w:sz w:val="24"/>
          <w:szCs w:val="24"/>
        </w:rPr>
        <w:t xml:space="preserve"> </w:t>
      </w:r>
      <w:r w:rsidRPr="007147D3">
        <w:rPr>
          <w:sz w:val="24"/>
          <w:szCs w:val="24"/>
        </w:rPr>
        <w:t xml:space="preserve">pozemku parc. č. 12062/1, k. ú. Plzeň </w:t>
      </w:r>
      <w:r>
        <w:rPr>
          <w:sz w:val="24"/>
          <w:szCs w:val="24"/>
        </w:rPr>
        <w:t xml:space="preserve">za část </w:t>
      </w:r>
      <w:r w:rsidRPr="00233B6D">
        <w:rPr>
          <w:sz w:val="24"/>
          <w:szCs w:val="24"/>
        </w:rPr>
        <w:t>městského pozemku parc.č. 11779/4 o celkové výměře 1314 m</w:t>
      </w:r>
      <w:r w:rsidRPr="00233B6D">
        <w:rPr>
          <w:sz w:val="24"/>
          <w:szCs w:val="24"/>
          <w:vertAlign w:val="superscript"/>
        </w:rPr>
        <w:t>2</w:t>
      </w:r>
      <w:r>
        <w:rPr>
          <w:sz w:val="24"/>
          <w:szCs w:val="24"/>
        </w:rPr>
        <w:t>, o</w:t>
      </w:r>
      <w:r w:rsidRPr="00233B6D">
        <w:rPr>
          <w:sz w:val="24"/>
          <w:szCs w:val="24"/>
        </w:rPr>
        <w:t>statní plocha, jiná plocha – část určená ke směně  cca 172 m</w:t>
      </w:r>
      <w:r w:rsidRPr="00233B6D">
        <w:rPr>
          <w:sz w:val="24"/>
          <w:szCs w:val="24"/>
          <w:vertAlign w:val="superscript"/>
        </w:rPr>
        <w:t>2</w:t>
      </w:r>
      <w:r w:rsidRPr="00C13E72">
        <w:rPr>
          <w:sz w:val="24"/>
          <w:szCs w:val="24"/>
        </w:rPr>
        <w:t>,</w:t>
      </w:r>
      <w:r>
        <w:rPr>
          <w:i/>
          <w:sz w:val="24"/>
          <w:szCs w:val="24"/>
        </w:rPr>
        <w:t xml:space="preserve"> </w:t>
      </w:r>
      <w:r>
        <w:rPr>
          <w:sz w:val="24"/>
          <w:szCs w:val="24"/>
        </w:rPr>
        <w:t>b</w:t>
      </w:r>
      <w:r w:rsidRPr="007147D3">
        <w:rPr>
          <w:sz w:val="24"/>
          <w:szCs w:val="24"/>
        </w:rPr>
        <w:t>yla usnesením RMP č. 174 ze dne 2. 3. 2017 odsouhlasena územní studie „Plzeň, Karlovarská“ (ÚKRMP, 9/2015) jako podklad pro rozhodování v území. V rámci této studie je i řešeno území Roudná, konkrétně propojení ulice Lipová. Vlastníkem</w:t>
      </w:r>
      <w:r w:rsidRPr="007147D3">
        <w:rPr>
          <w:bCs/>
          <w:sz w:val="24"/>
          <w:szCs w:val="24"/>
        </w:rPr>
        <w:t xml:space="preserve"> předmětného pozemku je SK SPORTCENTRUM </w:t>
      </w:r>
      <w:r>
        <w:rPr>
          <w:bCs/>
          <w:sz w:val="24"/>
          <w:szCs w:val="24"/>
        </w:rPr>
        <w:t xml:space="preserve">ROUDNÁ z.s., s kterým vedl  MAJ rovněž jednání o možnosti výkupu předmětného pozemku do majetku města Plzně </w:t>
      </w:r>
      <w:r w:rsidRPr="00C13E72">
        <w:rPr>
          <w:sz w:val="24"/>
          <w:szCs w:val="24"/>
        </w:rPr>
        <w:t>(</w:t>
      </w:r>
      <w:r>
        <w:rPr>
          <w:sz w:val="24"/>
          <w:szCs w:val="24"/>
        </w:rPr>
        <w:t xml:space="preserve">na </w:t>
      </w:r>
      <w:r w:rsidRPr="00C13E72">
        <w:rPr>
          <w:sz w:val="24"/>
          <w:szCs w:val="24"/>
        </w:rPr>
        <w:t>část předmětného pozemku je v současné době uzavřena Smlouva o výpůjčce č. 2007/005233 ze dne 30. 10. 2007 s občanským sdružením SK SPORTCENT</w:t>
      </w:r>
      <w:r>
        <w:rPr>
          <w:sz w:val="24"/>
          <w:szCs w:val="24"/>
        </w:rPr>
        <w:t>R</w:t>
      </w:r>
      <w:r w:rsidRPr="00C13E72">
        <w:rPr>
          <w:sz w:val="24"/>
          <w:szCs w:val="24"/>
        </w:rPr>
        <w:t>UM ROUDNÁ z.s. Dodatkem č. 1 ke smlouvě o výpůjčce byla výpůjční doba prodloužena na 2 roky, tj. do 30. 10. 2019)</w:t>
      </w:r>
      <w:r>
        <w:rPr>
          <w:bCs/>
          <w:sz w:val="24"/>
          <w:szCs w:val="24"/>
        </w:rPr>
        <w:t>.</w:t>
      </w:r>
    </w:p>
    <w:p w:rsidR="00C24E77" w:rsidRDefault="00C24E77" w:rsidP="00C24E77">
      <w:pPr>
        <w:jc w:val="both"/>
        <w:rPr>
          <w:sz w:val="24"/>
          <w:szCs w:val="24"/>
        </w:rPr>
      </w:pPr>
      <w:r w:rsidRPr="007147D3">
        <w:rPr>
          <w:sz w:val="24"/>
          <w:szCs w:val="24"/>
        </w:rPr>
        <w:t>ÚKRMP v této souvislosti upozornil na odlišný rozsah plánované směny s TJ Prazdroj Plzeň z.s., zejména ve smyslu poloh nových hranic oproti územní studii „Plzeň, Kar</w:t>
      </w:r>
      <w:r>
        <w:rPr>
          <w:sz w:val="24"/>
          <w:szCs w:val="24"/>
        </w:rPr>
        <w:t xml:space="preserve">lovarská“, o jejímž rozsahu MAJ </w:t>
      </w:r>
      <w:r w:rsidRPr="007147D3">
        <w:rPr>
          <w:sz w:val="24"/>
          <w:szCs w:val="24"/>
        </w:rPr>
        <w:t>vedl jednání s p. Kaprem, jako zástupcem obou shora uvedených subjektů</w:t>
      </w:r>
      <w:r>
        <w:rPr>
          <w:sz w:val="24"/>
          <w:szCs w:val="24"/>
        </w:rPr>
        <w:t xml:space="preserve"> – viz příloha č. 4/1 – 4/3.</w:t>
      </w:r>
      <w:r w:rsidRPr="007147D3">
        <w:rPr>
          <w:sz w:val="24"/>
          <w:szCs w:val="24"/>
        </w:rPr>
        <w:t xml:space="preserve"> </w:t>
      </w:r>
    </w:p>
    <w:p w:rsidR="00C24E77" w:rsidRPr="0023226F" w:rsidRDefault="00C24E77" w:rsidP="00C24E77">
      <w:pPr>
        <w:jc w:val="both"/>
        <w:rPr>
          <w:bCs/>
          <w:sz w:val="24"/>
          <w:szCs w:val="24"/>
        </w:rPr>
      </w:pPr>
      <w:r w:rsidRPr="0023226F">
        <w:rPr>
          <w:sz w:val="24"/>
          <w:szCs w:val="24"/>
        </w:rPr>
        <w:t>S ohledem k této skutečnosti a z důvodu respektování navržené hranice v maximální možné míře, byl nový rozsah směny dle schválené studie projednán dne 19. 5. 2017 se zástupce</w:t>
      </w:r>
      <w:r>
        <w:rPr>
          <w:sz w:val="24"/>
          <w:szCs w:val="24"/>
        </w:rPr>
        <w:t>m</w:t>
      </w:r>
      <w:r w:rsidRPr="0023226F">
        <w:rPr>
          <w:sz w:val="24"/>
          <w:szCs w:val="24"/>
        </w:rPr>
        <w:t xml:space="preserve"> obou klubů, p. Kaprem. </w:t>
      </w:r>
      <w:r w:rsidRPr="0023226F">
        <w:rPr>
          <w:bCs/>
          <w:sz w:val="24"/>
          <w:szCs w:val="24"/>
        </w:rPr>
        <w:t>Pan Kapr souhlasil s novým rozsahem směny dle schválené studie za podmínky získání části městského pozemku parc.č. 11793/1 o výměře cca 820 m</w:t>
      </w:r>
      <w:r w:rsidRPr="0023226F">
        <w:rPr>
          <w:bCs/>
          <w:sz w:val="24"/>
          <w:szCs w:val="24"/>
          <w:vertAlign w:val="superscript"/>
        </w:rPr>
        <w:t>2</w:t>
      </w:r>
      <w:r w:rsidRPr="0023226F">
        <w:rPr>
          <w:bCs/>
          <w:sz w:val="24"/>
          <w:szCs w:val="24"/>
        </w:rPr>
        <w:t xml:space="preserve"> z celkové výměry 2748 m</w:t>
      </w:r>
      <w:r w:rsidRPr="0023226F">
        <w:rPr>
          <w:bCs/>
          <w:sz w:val="24"/>
          <w:szCs w:val="24"/>
          <w:vertAlign w:val="superscript"/>
        </w:rPr>
        <w:t>2</w:t>
      </w:r>
      <w:r w:rsidRPr="0023226F">
        <w:rPr>
          <w:bCs/>
          <w:sz w:val="24"/>
          <w:szCs w:val="24"/>
        </w:rPr>
        <w:t xml:space="preserve">, zahrada, k.ú. Plzeň z důvodu zajištění bezplatného parkování pro potřeby sportovního klubu. </w:t>
      </w:r>
    </w:p>
    <w:p w:rsidR="00C24E77" w:rsidRDefault="00C24E77" w:rsidP="00C24E77">
      <w:pPr>
        <w:jc w:val="both"/>
        <w:rPr>
          <w:sz w:val="24"/>
          <w:szCs w:val="24"/>
        </w:rPr>
      </w:pPr>
      <w:r w:rsidRPr="0023226F">
        <w:rPr>
          <w:bCs/>
          <w:sz w:val="24"/>
          <w:szCs w:val="24"/>
        </w:rPr>
        <w:t>K možnosti směny bylo vydáno kladné stanovisko TÚ MMP pod č.j. MMP/134929/17 ze dne 2.</w:t>
      </w:r>
      <w:r>
        <w:rPr>
          <w:bCs/>
          <w:sz w:val="24"/>
          <w:szCs w:val="24"/>
        </w:rPr>
        <w:t xml:space="preserve"> </w:t>
      </w:r>
      <w:r w:rsidRPr="0023226F">
        <w:rPr>
          <w:bCs/>
          <w:sz w:val="24"/>
          <w:szCs w:val="24"/>
        </w:rPr>
        <w:t>1. 2018</w:t>
      </w:r>
      <w:r w:rsidRPr="0023226F">
        <w:rPr>
          <w:sz w:val="24"/>
          <w:szCs w:val="24"/>
        </w:rPr>
        <w:t>.</w:t>
      </w:r>
    </w:p>
    <w:p w:rsidR="00C24E77" w:rsidRPr="0030420C" w:rsidRDefault="00C24E77" w:rsidP="00C24E77">
      <w:pPr>
        <w:pStyle w:val="Prosttext"/>
        <w:jc w:val="both"/>
        <w:rPr>
          <w:rFonts w:ascii="Times New Roman" w:hAnsi="Times New Roman" w:cs="Times New Roman"/>
          <w:sz w:val="24"/>
          <w:szCs w:val="24"/>
        </w:rPr>
      </w:pPr>
      <w:r w:rsidRPr="00CE67D7">
        <w:rPr>
          <w:rFonts w:ascii="Times New Roman" w:hAnsi="Times New Roman" w:cs="Times New Roman"/>
          <w:sz w:val="24"/>
          <w:szCs w:val="24"/>
        </w:rPr>
        <w:t>Následně MAJ MMP obdržel dne 28. 3. 2018  vyjádření zástupce obou subjektů (SK SPORTCENTRUM ROUDNÁ z.s. a TJ Prazdroj Plzeň z.s.) na současnou situaci</w:t>
      </w:r>
      <w:r>
        <w:rPr>
          <w:sz w:val="24"/>
          <w:szCs w:val="24"/>
        </w:rPr>
        <w:t xml:space="preserve"> </w:t>
      </w:r>
      <w:r w:rsidRPr="0030420C">
        <w:rPr>
          <w:rFonts w:ascii="Times New Roman" w:hAnsi="Times New Roman" w:cs="Times New Roman"/>
          <w:sz w:val="24"/>
          <w:szCs w:val="24"/>
        </w:rPr>
        <w:t>ohledně  požadavku města Plzně na získání pozemků v majetku obou subjektů pro budoucí výstavbu a úpravu komunikací včetně rekonstrukce chodníků v okolí sportoviště.  Ve svém vyjádření mimo jiné uvádí, že kluby nemají zájem na získání finančních prostředků na úkor pozemků, na který</w:t>
      </w:r>
      <w:r>
        <w:rPr>
          <w:rFonts w:ascii="Times New Roman" w:hAnsi="Times New Roman" w:cs="Times New Roman"/>
          <w:sz w:val="24"/>
          <w:szCs w:val="24"/>
        </w:rPr>
        <w:t>ch</w:t>
      </w:r>
      <w:r w:rsidRPr="0030420C">
        <w:rPr>
          <w:rFonts w:ascii="Times New Roman" w:hAnsi="Times New Roman" w:cs="Times New Roman"/>
          <w:sz w:val="24"/>
          <w:szCs w:val="24"/>
        </w:rPr>
        <w:t xml:space="preserve"> je možná další výstavba sportovní infrastruktury. SK má dlouhodobě uzavřenou výpůjčku na pozemek parc.č. </w:t>
      </w:r>
      <w:r>
        <w:rPr>
          <w:rFonts w:ascii="Times New Roman" w:hAnsi="Times New Roman" w:cs="Times New Roman"/>
          <w:sz w:val="24"/>
          <w:szCs w:val="24"/>
        </w:rPr>
        <w:t xml:space="preserve">11779/4 o výměře </w:t>
      </w:r>
      <w:r w:rsidRPr="0030420C">
        <w:rPr>
          <w:rFonts w:ascii="Times New Roman" w:hAnsi="Times New Roman" w:cs="Times New Roman"/>
          <w:sz w:val="24"/>
          <w:szCs w:val="24"/>
        </w:rPr>
        <w:t>1314 m</w:t>
      </w:r>
      <w:r w:rsidRPr="0030420C">
        <w:rPr>
          <w:rFonts w:ascii="Times New Roman" w:hAnsi="Times New Roman" w:cs="Times New Roman"/>
          <w:sz w:val="24"/>
          <w:szCs w:val="24"/>
          <w:vertAlign w:val="superscript"/>
        </w:rPr>
        <w:t>2</w:t>
      </w:r>
      <w:r w:rsidRPr="0030420C">
        <w:rPr>
          <w:rFonts w:ascii="Times New Roman" w:hAnsi="Times New Roman" w:cs="Times New Roman"/>
          <w:sz w:val="24"/>
          <w:szCs w:val="24"/>
        </w:rPr>
        <w:t>, a pokud by</w:t>
      </w:r>
      <w:r>
        <w:rPr>
          <w:rFonts w:ascii="Times New Roman" w:hAnsi="Times New Roman" w:cs="Times New Roman"/>
          <w:sz w:val="24"/>
          <w:szCs w:val="24"/>
        </w:rPr>
        <w:t xml:space="preserve"> </w:t>
      </w:r>
      <w:r w:rsidRPr="0030420C">
        <w:rPr>
          <w:rFonts w:ascii="Times New Roman" w:hAnsi="Times New Roman" w:cs="Times New Roman"/>
          <w:sz w:val="24"/>
          <w:szCs w:val="24"/>
        </w:rPr>
        <w:t>v</w:t>
      </w:r>
      <w:r>
        <w:rPr>
          <w:rFonts w:ascii="Times New Roman" w:hAnsi="Times New Roman" w:cs="Times New Roman"/>
          <w:sz w:val="24"/>
          <w:szCs w:val="24"/>
        </w:rPr>
        <w:t> </w:t>
      </w:r>
      <w:r w:rsidRPr="0030420C">
        <w:rPr>
          <w:rFonts w:ascii="Times New Roman" w:hAnsi="Times New Roman" w:cs="Times New Roman"/>
          <w:sz w:val="24"/>
          <w:szCs w:val="24"/>
        </w:rPr>
        <w:t xml:space="preserve">současné </w:t>
      </w:r>
      <w:r w:rsidRPr="0030420C">
        <w:rPr>
          <w:rFonts w:ascii="Times New Roman" w:hAnsi="Times New Roman" w:cs="Times New Roman"/>
          <w:sz w:val="24"/>
          <w:szCs w:val="24"/>
        </w:rPr>
        <w:lastRenderedPageBreak/>
        <w:t>době chtěli požádat o dotaci, je téměř jisté, že nem</w:t>
      </w:r>
      <w:r>
        <w:rPr>
          <w:rFonts w:ascii="Times New Roman" w:hAnsi="Times New Roman" w:cs="Times New Roman"/>
          <w:sz w:val="24"/>
          <w:szCs w:val="24"/>
        </w:rPr>
        <w:t xml:space="preserve">ohou </w:t>
      </w:r>
      <w:r w:rsidRPr="0030420C">
        <w:rPr>
          <w:rFonts w:ascii="Times New Roman" w:hAnsi="Times New Roman" w:cs="Times New Roman"/>
          <w:sz w:val="24"/>
          <w:szCs w:val="24"/>
        </w:rPr>
        <w:t>být úspěšní, neboť nejs</w:t>
      </w:r>
      <w:r>
        <w:rPr>
          <w:rFonts w:ascii="Times New Roman" w:hAnsi="Times New Roman" w:cs="Times New Roman"/>
          <w:sz w:val="24"/>
          <w:szCs w:val="24"/>
        </w:rPr>
        <w:t>ou</w:t>
      </w:r>
      <w:r w:rsidRPr="0030420C">
        <w:rPr>
          <w:rFonts w:ascii="Times New Roman" w:hAnsi="Times New Roman" w:cs="Times New Roman"/>
          <w:sz w:val="24"/>
          <w:szCs w:val="24"/>
        </w:rPr>
        <w:t xml:space="preserve"> vlastníky pozemku.</w:t>
      </w:r>
    </w:p>
    <w:p w:rsidR="00C24E77" w:rsidRPr="0030420C" w:rsidRDefault="00C24E77" w:rsidP="00C24E77">
      <w:pPr>
        <w:pStyle w:val="Prosttext"/>
        <w:jc w:val="both"/>
        <w:rPr>
          <w:rFonts w:ascii="Times New Roman" w:hAnsi="Times New Roman" w:cs="Times New Roman"/>
          <w:sz w:val="24"/>
          <w:szCs w:val="24"/>
        </w:rPr>
      </w:pPr>
      <w:r w:rsidRPr="0030420C">
        <w:rPr>
          <w:rFonts w:ascii="Times New Roman" w:hAnsi="Times New Roman" w:cs="Times New Roman"/>
          <w:sz w:val="24"/>
          <w:szCs w:val="24"/>
        </w:rPr>
        <w:t>Po zvážení všech okolností navrhují</w:t>
      </w:r>
      <w:r>
        <w:rPr>
          <w:rFonts w:ascii="Times New Roman" w:hAnsi="Times New Roman" w:cs="Times New Roman"/>
          <w:sz w:val="24"/>
          <w:szCs w:val="24"/>
        </w:rPr>
        <w:t xml:space="preserve"> oba kluby</w:t>
      </w:r>
      <w:r w:rsidRPr="0030420C">
        <w:rPr>
          <w:rFonts w:ascii="Times New Roman" w:hAnsi="Times New Roman" w:cs="Times New Roman"/>
          <w:sz w:val="24"/>
          <w:szCs w:val="24"/>
        </w:rPr>
        <w:t>, že kdyby daro</w:t>
      </w:r>
      <w:r>
        <w:rPr>
          <w:rFonts w:ascii="Times New Roman" w:hAnsi="Times New Roman" w:cs="Times New Roman"/>
          <w:sz w:val="24"/>
          <w:szCs w:val="24"/>
        </w:rPr>
        <w:t xml:space="preserve">valy městu pozemky potřebné </w:t>
      </w:r>
      <w:r w:rsidRPr="0030420C">
        <w:rPr>
          <w:rFonts w:ascii="Times New Roman" w:hAnsi="Times New Roman" w:cs="Times New Roman"/>
          <w:sz w:val="24"/>
          <w:szCs w:val="24"/>
        </w:rPr>
        <w:t>právě</w:t>
      </w:r>
      <w:r>
        <w:rPr>
          <w:rFonts w:ascii="Times New Roman" w:hAnsi="Times New Roman" w:cs="Times New Roman"/>
          <w:sz w:val="24"/>
          <w:szCs w:val="24"/>
        </w:rPr>
        <w:t xml:space="preserve"> pro</w:t>
      </w:r>
      <w:r w:rsidRPr="0030420C">
        <w:rPr>
          <w:rFonts w:ascii="Times New Roman" w:hAnsi="Times New Roman" w:cs="Times New Roman"/>
          <w:sz w:val="24"/>
          <w:szCs w:val="24"/>
        </w:rPr>
        <w:t xml:space="preserve"> rozvoj území nové bytové a občanské zástavby, bylo by možné od města recipročně obdržet jako dar celý výše zmíněný  pozemek parc. č. 11779/4 uvnitř areálu a  část pozemku parc.č. 11793/1 - pruh šířky 7 m při hranici areálu tenisových kurtů dle GP celkem 348 m</w:t>
      </w:r>
      <w:r w:rsidRPr="0030420C">
        <w:rPr>
          <w:rFonts w:ascii="Times New Roman" w:hAnsi="Times New Roman" w:cs="Times New Roman"/>
          <w:sz w:val="24"/>
          <w:szCs w:val="24"/>
          <w:vertAlign w:val="superscript"/>
        </w:rPr>
        <w:t>2</w:t>
      </w:r>
      <w:r w:rsidRPr="0030420C">
        <w:rPr>
          <w:rFonts w:ascii="Times New Roman" w:hAnsi="Times New Roman" w:cs="Times New Roman"/>
          <w:sz w:val="24"/>
          <w:szCs w:val="24"/>
        </w:rPr>
        <w:t xml:space="preserve"> pro budoucí náhradu pa</w:t>
      </w:r>
      <w:r>
        <w:rPr>
          <w:rFonts w:ascii="Times New Roman" w:hAnsi="Times New Roman" w:cs="Times New Roman"/>
          <w:sz w:val="24"/>
          <w:szCs w:val="24"/>
        </w:rPr>
        <w:t>rkovacích míst, o které přijdou</w:t>
      </w:r>
      <w:r w:rsidRPr="0030420C">
        <w:rPr>
          <w:rFonts w:ascii="Times New Roman" w:hAnsi="Times New Roman" w:cs="Times New Roman"/>
          <w:sz w:val="24"/>
          <w:szCs w:val="24"/>
        </w:rPr>
        <w:t xml:space="preserve"> jak uvnitř areálu, </w:t>
      </w:r>
      <w:r>
        <w:rPr>
          <w:rFonts w:ascii="Times New Roman" w:hAnsi="Times New Roman" w:cs="Times New Roman"/>
          <w:sz w:val="24"/>
          <w:szCs w:val="24"/>
        </w:rPr>
        <w:t xml:space="preserve">tak i </w:t>
      </w:r>
      <w:r w:rsidRPr="0030420C">
        <w:rPr>
          <w:rFonts w:ascii="Times New Roman" w:hAnsi="Times New Roman" w:cs="Times New Roman"/>
          <w:sz w:val="24"/>
          <w:szCs w:val="24"/>
        </w:rPr>
        <w:t>vně areálu při úpravě ulice Pod Všemi Svatými i ul. Lipové, kde vznikne  pr</w:t>
      </w:r>
      <w:r>
        <w:rPr>
          <w:rFonts w:ascii="Times New Roman" w:hAnsi="Times New Roman" w:cs="Times New Roman"/>
          <w:sz w:val="24"/>
          <w:szCs w:val="24"/>
        </w:rPr>
        <w:t>opojovací komunikace a chodníky – viz příloha č. 5.</w:t>
      </w:r>
    </w:p>
    <w:p w:rsidR="00C24E77" w:rsidRDefault="00C24E77" w:rsidP="00C24E77">
      <w:pPr>
        <w:jc w:val="both"/>
        <w:rPr>
          <w:sz w:val="24"/>
          <w:szCs w:val="24"/>
        </w:rPr>
      </w:pPr>
      <w:r>
        <w:rPr>
          <w:sz w:val="24"/>
          <w:szCs w:val="24"/>
        </w:rPr>
        <w:t>Na podkladě geometrického plánu (viz příloha č. 9) zpracovaného geodetem SVSMP by se jednalo o vzájemné dary a to v rozsahu:</w:t>
      </w:r>
    </w:p>
    <w:p w:rsidR="00C24E77" w:rsidRDefault="00C24E77" w:rsidP="00C24E77">
      <w:pPr>
        <w:jc w:val="both"/>
        <w:rPr>
          <w:sz w:val="24"/>
          <w:szCs w:val="24"/>
        </w:rPr>
      </w:pPr>
      <w:r>
        <w:rPr>
          <w:sz w:val="24"/>
          <w:szCs w:val="24"/>
        </w:rPr>
        <w:t>Město Plzeň získá darem od TJ Prazdroj Plzeň z.s. pozemky v k.ú. Plzeň</w:t>
      </w:r>
    </w:p>
    <w:p w:rsidR="00C24E77" w:rsidRDefault="00C24E77" w:rsidP="00C24E77">
      <w:pPr>
        <w:ind w:left="142" w:hanging="142"/>
        <w:jc w:val="both"/>
        <w:rPr>
          <w:sz w:val="24"/>
          <w:szCs w:val="24"/>
        </w:rPr>
      </w:pPr>
      <w:r>
        <w:rPr>
          <w:sz w:val="24"/>
          <w:szCs w:val="24"/>
        </w:rPr>
        <w:t>- nově vzniklý pozemek parc. č. 12062/30 o výměře 466 m</w:t>
      </w:r>
      <w:r>
        <w:rPr>
          <w:sz w:val="24"/>
          <w:szCs w:val="24"/>
          <w:vertAlign w:val="superscript"/>
        </w:rPr>
        <w:t>2</w:t>
      </w:r>
      <w:r>
        <w:rPr>
          <w:sz w:val="24"/>
          <w:szCs w:val="24"/>
        </w:rPr>
        <w:t>, který bude oddělen geometrickým plánem z pozemku parc. č. 12062/1 o výměře 7690 m</w:t>
      </w:r>
      <w:r>
        <w:rPr>
          <w:sz w:val="24"/>
          <w:szCs w:val="24"/>
          <w:vertAlign w:val="superscript"/>
        </w:rPr>
        <w:t>2</w:t>
      </w:r>
      <w:r>
        <w:rPr>
          <w:sz w:val="24"/>
          <w:szCs w:val="24"/>
        </w:rPr>
        <w:t>, ost. plocha, ost. komunikace (pro účely rekonstrukce chodníku v ul. Pod Všemi svatými v rámci IA MO Plzeň 1),</w:t>
      </w:r>
    </w:p>
    <w:p w:rsidR="00C24E77" w:rsidRDefault="00C24E77" w:rsidP="00C24E77">
      <w:pPr>
        <w:ind w:left="142" w:hanging="142"/>
        <w:jc w:val="both"/>
        <w:rPr>
          <w:sz w:val="24"/>
          <w:szCs w:val="24"/>
        </w:rPr>
      </w:pPr>
      <w:r>
        <w:rPr>
          <w:sz w:val="24"/>
          <w:szCs w:val="24"/>
        </w:rPr>
        <w:t>- nově vzniklý pozemek parc. č. 11794/7 o výměře 171 m</w:t>
      </w:r>
      <w:r>
        <w:rPr>
          <w:sz w:val="24"/>
          <w:szCs w:val="24"/>
          <w:vertAlign w:val="superscript"/>
        </w:rPr>
        <w:t>2</w:t>
      </w:r>
      <w:r>
        <w:rPr>
          <w:sz w:val="24"/>
          <w:szCs w:val="24"/>
        </w:rPr>
        <w:t xml:space="preserve"> a nově vzniklý pozemek parc. č. 11794/8 o výměře 112 m</w:t>
      </w:r>
      <w:r>
        <w:rPr>
          <w:sz w:val="24"/>
          <w:szCs w:val="24"/>
          <w:vertAlign w:val="superscript"/>
        </w:rPr>
        <w:t>2</w:t>
      </w:r>
      <w:r>
        <w:rPr>
          <w:sz w:val="24"/>
          <w:szCs w:val="24"/>
        </w:rPr>
        <w:t>, které budou oba odděleny geometrickým plánem z pozemku parc. č. 11794/1 o výměře 5008 m</w:t>
      </w:r>
      <w:r>
        <w:rPr>
          <w:sz w:val="24"/>
          <w:szCs w:val="24"/>
          <w:vertAlign w:val="superscript"/>
        </w:rPr>
        <w:t>2</w:t>
      </w:r>
      <w:r>
        <w:rPr>
          <w:sz w:val="24"/>
          <w:szCs w:val="24"/>
        </w:rPr>
        <w:t>, ost. plocha, neplodná půda (v budoucím koridoru Lipová dle studie),</w:t>
      </w:r>
    </w:p>
    <w:p w:rsidR="00C24E77" w:rsidRDefault="00C24E77" w:rsidP="00C24E77">
      <w:pPr>
        <w:jc w:val="both"/>
        <w:rPr>
          <w:sz w:val="24"/>
          <w:szCs w:val="24"/>
          <w:vertAlign w:val="superscript"/>
        </w:rPr>
      </w:pPr>
      <w:r>
        <w:rPr>
          <w:sz w:val="24"/>
          <w:szCs w:val="24"/>
        </w:rPr>
        <w:t>Výměra celkem                     749 m</w:t>
      </w:r>
      <w:r>
        <w:rPr>
          <w:sz w:val="24"/>
          <w:szCs w:val="24"/>
          <w:vertAlign w:val="superscript"/>
        </w:rPr>
        <w:t>2</w:t>
      </w:r>
    </w:p>
    <w:p w:rsidR="00C24E77" w:rsidRDefault="00C24E77" w:rsidP="00C24E77">
      <w:pPr>
        <w:jc w:val="both"/>
        <w:rPr>
          <w:sz w:val="24"/>
          <w:szCs w:val="24"/>
        </w:rPr>
      </w:pPr>
    </w:p>
    <w:p w:rsidR="00C24E77" w:rsidRDefault="00C24E77" w:rsidP="00C24E77">
      <w:pPr>
        <w:jc w:val="both"/>
        <w:rPr>
          <w:sz w:val="24"/>
          <w:szCs w:val="24"/>
        </w:rPr>
      </w:pPr>
      <w:r>
        <w:rPr>
          <w:sz w:val="24"/>
          <w:szCs w:val="24"/>
        </w:rPr>
        <w:t>Město Plzeň získá darem od SK SPORTCENTRUM ROUDNÁ z.s. pozemky v k.ú. Plzeň</w:t>
      </w:r>
    </w:p>
    <w:p w:rsidR="00C24E77" w:rsidRDefault="00C24E77" w:rsidP="00C24E77">
      <w:pPr>
        <w:jc w:val="both"/>
        <w:rPr>
          <w:sz w:val="24"/>
          <w:szCs w:val="24"/>
        </w:rPr>
      </w:pPr>
      <w:r>
        <w:rPr>
          <w:sz w:val="24"/>
          <w:szCs w:val="24"/>
        </w:rPr>
        <w:t>- parc.č. 11796 o výměře 350 m</w:t>
      </w:r>
      <w:r>
        <w:rPr>
          <w:sz w:val="24"/>
          <w:szCs w:val="24"/>
          <w:vertAlign w:val="superscript"/>
        </w:rPr>
        <w:t>2</w:t>
      </w:r>
      <w:r>
        <w:rPr>
          <w:sz w:val="24"/>
          <w:szCs w:val="24"/>
        </w:rPr>
        <w:t>, ost. komunikace, neplodná půda (Lipová ul. – dle studie celý pozemek)</w:t>
      </w:r>
    </w:p>
    <w:p w:rsidR="00C24E77" w:rsidRDefault="00C24E77" w:rsidP="00C24E77">
      <w:pPr>
        <w:jc w:val="both"/>
        <w:rPr>
          <w:sz w:val="24"/>
          <w:szCs w:val="24"/>
        </w:rPr>
      </w:pPr>
      <w:r>
        <w:rPr>
          <w:sz w:val="24"/>
          <w:szCs w:val="24"/>
        </w:rPr>
        <w:t>- nově vzniklý pozemek parc. č. 11779/5 o výměře 260 m</w:t>
      </w:r>
      <w:r>
        <w:rPr>
          <w:sz w:val="24"/>
          <w:szCs w:val="24"/>
          <w:vertAlign w:val="superscript"/>
        </w:rPr>
        <w:t>2</w:t>
      </w:r>
      <w:r>
        <w:rPr>
          <w:sz w:val="24"/>
          <w:szCs w:val="24"/>
        </w:rPr>
        <w:t>, který bude oddělen geometrickým plánem z pozemku parc.č. 11779/1 o výměře 3200 m</w:t>
      </w:r>
      <w:r>
        <w:rPr>
          <w:sz w:val="24"/>
          <w:szCs w:val="24"/>
          <w:vertAlign w:val="superscript"/>
        </w:rPr>
        <w:t>2</w:t>
      </w:r>
      <w:r>
        <w:rPr>
          <w:sz w:val="24"/>
          <w:szCs w:val="24"/>
        </w:rPr>
        <w:t>, ost. plocha, neplodná půda (rozšíření vstupu do parku dle studie),</w:t>
      </w:r>
    </w:p>
    <w:p w:rsidR="00C24E77" w:rsidRDefault="00C24E77" w:rsidP="00C24E77">
      <w:pPr>
        <w:jc w:val="both"/>
        <w:rPr>
          <w:sz w:val="24"/>
          <w:szCs w:val="24"/>
        </w:rPr>
      </w:pPr>
      <w:r>
        <w:rPr>
          <w:sz w:val="24"/>
          <w:szCs w:val="24"/>
        </w:rPr>
        <w:t>Výměra celkem                     610 m</w:t>
      </w:r>
      <w:r>
        <w:rPr>
          <w:sz w:val="24"/>
          <w:szCs w:val="24"/>
          <w:vertAlign w:val="superscript"/>
        </w:rPr>
        <w:t>2</w:t>
      </w:r>
    </w:p>
    <w:p w:rsidR="00C24E77" w:rsidRDefault="00C24E77" w:rsidP="00C24E77">
      <w:pPr>
        <w:jc w:val="both"/>
        <w:rPr>
          <w:sz w:val="24"/>
          <w:szCs w:val="24"/>
        </w:rPr>
      </w:pPr>
    </w:p>
    <w:p w:rsidR="00C24E77" w:rsidRDefault="00C24E77" w:rsidP="00C24E77">
      <w:pPr>
        <w:jc w:val="both"/>
        <w:rPr>
          <w:sz w:val="24"/>
          <w:szCs w:val="24"/>
        </w:rPr>
      </w:pPr>
      <w:r>
        <w:rPr>
          <w:sz w:val="24"/>
          <w:szCs w:val="24"/>
        </w:rPr>
        <w:t>Město Plzeň daruje SK SPORTCENTRUM ROUDNÁ z.s. pozemky  v k.ú. Plzeň</w:t>
      </w:r>
    </w:p>
    <w:p w:rsidR="00C24E77" w:rsidRDefault="00C24E77" w:rsidP="00C24E77">
      <w:pPr>
        <w:ind w:left="142" w:hanging="142"/>
        <w:jc w:val="both"/>
        <w:rPr>
          <w:b/>
          <w:bCs/>
          <w:sz w:val="24"/>
          <w:szCs w:val="24"/>
        </w:rPr>
      </w:pPr>
      <w:r>
        <w:rPr>
          <w:sz w:val="24"/>
          <w:szCs w:val="24"/>
        </w:rPr>
        <w:t>-</w:t>
      </w:r>
      <w:r>
        <w:rPr>
          <w:sz w:val="24"/>
          <w:szCs w:val="24"/>
        </w:rPr>
        <w:tab/>
        <w:t xml:space="preserve">nově vzniklý pozemek parc.č. 11793/20 o výměře 348 </w:t>
      </w:r>
      <w:r w:rsidRPr="00DB2875">
        <w:rPr>
          <w:sz w:val="24"/>
          <w:szCs w:val="24"/>
        </w:rPr>
        <w:t>m</w:t>
      </w:r>
      <w:r>
        <w:rPr>
          <w:sz w:val="24"/>
          <w:szCs w:val="24"/>
          <w:vertAlign w:val="superscript"/>
        </w:rPr>
        <w:t>2</w:t>
      </w:r>
      <w:r>
        <w:rPr>
          <w:sz w:val="24"/>
          <w:szCs w:val="24"/>
        </w:rPr>
        <w:t xml:space="preserve">, který bude oddělen geometrickým plánem z pozemku parc. č.  </w:t>
      </w:r>
      <w:r w:rsidRPr="00DB2875">
        <w:rPr>
          <w:sz w:val="24"/>
          <w:szCs w:val="24"/>
        </w:rPr>
        <w:t>11793</w:t>
      </w:r>
      <w:r>
        <w:rPr>
          <w:sz w:val="24"/>
          <w:szCs w:val="24"/>
        </w:rPr>
        <w:t>/1 o výměře 2748 m</w:t>
      </w:r>
      <w:r>
        <w:rPr>
          <w:sz w:val="24"/>
          <w:szCs w:val="24"/>
          <w:vertAlign w:val="superscript"/>
        </w:rPr>
        <w:t>2</w:t>
      </w:r>
      <w:r>
        <w:rPr>
          <w:sz w:val="24"/>
          <w:szCs w:val="24"/>
        </w:rPr>
        <w:t xml:space="preserve">, zahrada /tj. cca 20 parkovacích míst / </w:t>
      </w:r>
    </w:p>
    <w:p w:rsidR="00C24E77" w:rsidRDefault="00C24E77" w:rsidP="00C24E77">
      <w:pPr>
        <w:ind w:left="142" w:hanging="142"/>
        <w:jc w:val="both"/>
        <w:rPr>
          <w:sz w:val="24"/>
          <w:szCs w:val="24"/>
          <w:u w:val="single"/>
        </w:rPr>
      </w:pPr>
      <w:r>
        <w:rPr>
          <w:sz w:val="24"/>
          <w:szCs w:val="24"/>
        </w:rPr>
        <w:t>- nově vzniklý pozemek parc. č. 11779/4 o výměře 1259 m</w:t>
      </w:r>
      <w:r>
        <w:rPr>
          <w:sz w:val="24"/>
          <w:szCs w:val="24"/>
          <w:vertAlign w:val="superscript"/>
        </w:rPr>
        <w:t>2</w:t>
      </w:r>
      <w:r>
        <w:rPr>
          <w:sz w:val="24"/>
          <w:szCs w:val="24"/>
        </w:rPr>
        <w:t>, který bude oddělen geometrickým plánem z pozemku parc.č. 11779/4 o výměře 1314 m</w:t>
      </w:r>
      <w:r>
        <w:rPr>
          <w:sz w:val="24"/>
          <w:szCs w:val="24"/>
          <w:vertAlign w:val="superscript"/>
        </w:rPr>
        <w:t>2</w:t>
      </w:r>
      <w:r>
        <w:rPr>
          <w:sz w:val="24"/>
          <w:szCs w:val="24"/>
        </w:rPr>
        <w:t>, ost. plocha, jiná plocha</w:t>
      </w:r>
      <w:r>
        <w:rPr>
          <w:sz w:val="24"/>
          <w:szCs w:val="24"/>
          <w:vertAlign w:val="superscript"/>
        </w:rPr>
        <w:t xml:space="preserve"> </w:t>
      </w:r>
      <w:r>
        <w:rPr>
          <w:sz w:val="24"/>
          <w:szCs w:val="24"/>
        </w:rPr>
        <w:t>(část o výměře cca 172 m</w:t>
      </w:r>
      <w:r>
        <w:rPr>
          <w:sz w:val="24"/>
          <w:szCs w:val="24"/>
          <w:vertAlign w:val="superscript"/>
        </w:rPr>
        <w:t>2</w:t>
      </w:r>
      <w:r>
        <w:rPr>
          <w:sz w:val="24"/>
          <w:szCs w:val="24"/>
        </w:rPr>
        <w:t xml:space="preserve"> je předmětem výpůjčky s SK SPORTCENTRUM ROUDNÁ z.s)</w:t>
      </w:r>
    </w:p>
    <w:p w:rsidR="00C24E77" w:rsidRDefault="00C24E77" w:rsidP="00C24E77">
      <w:pPr>
        <w:jc w:val="both"/>
        <w:rPr>
          <w:sz w:val="24"/>
          <w:szCs w:val="24"/>
          <w:vertAlign w:val="superscript"/>
        </w:rPr>
      </w:pPr>
      <w:r>
        <w:rPr>
          <w:sz w:val="24"/>
          <w:szCs w:val="24"/>
        </w:rPr>
        <w:t>Výměra celkem                    1607 m</w:t>
      </w:r>
      <w:r>
        <w:rPr>
          <w:sz w:val="24"/>
          <w:szCs w:val="24"/>
          <w:vertAlign w:val="superscript"/>
        </w:rPr>
        <w:t>2</w:t>
      </w:r>
    </w:p>
    <w:p w:rsidR="00C24E77" w:rsidRDefault="00C24E77" w:rsidP="00C24E77">
      <w:pPr>
        <w:jc w:val="both"/>
        <w:rPr>
          <w:sz w:val="24"/>
          <w:szCs w:val="24"/>
          <w:vertAlign w:val="superscript"/>
        </w:rPr>
      </w:pPr>
    </w:p>
    <w:p w:rsidR="00C24E77" w:rsidRDefault="00C24E77" w:rsidP="00C24E77">
      <w:pPr>
        <w:jc w:val="both"/>
        <w:rPr>
          <w:sz w:val="24"/>
          <w:szCs w:val="24"/>
        </w:rPr>
      </w:pPr>
      <w:r>
        <w:rPr>
          <w:sz w:val="24"/>
          <w:szCs w:val="24"/>
        </w:rPr>
        <w:t>Současně s darovací smlouvou bude uzavřena služebnost ve prospěch města Plzně:</w:t>
      </w:r>
    </w:p>
    <w:p w:rsidR="00C24E77" w:rsidRDefault="00C24E77" w:rsidP="00C24E77">
      <w:pPr>
        <w:ind w:left="284" w:hanging="284"/>
        <w:jc w:val="both"/>
        <w:rPr>
          <w:sz w:val="24"/>
          <w:szCs w:val="24"/>
        </w:rPr>
      </w:pPr>
      <w:r>
        <w:rPr>
          <w:sz w:val="24"/>
          <w:szCs w:val="24"/>
        </w:rPr>
        <w:t>-  vedení vzdušného VO, které vede nad pozemkem parc. č. 11779/4, k. ú. Plzeň.</w:t>
      </w:r>
    </w:p>
    <w:p w:rsidR="00C24E77" w:rsidRDefault="00C24E77" w:rsidP="00C24E77">
      <w:pPr>
        <w:ind w:left="142"/>
        <w:jc w:val="both"/>
        <w:rPr>
          <w:b/>
          <w:bCs/>
          <w:sz w:val="24"/>
          <w:szCs w:val="24"/>
        </w:rPr>
      </w:pPr>
    </w:p>
    <w:p w:rsidR="00C24E77" w:rsidRDefault="00C24E77" w:rsidP="00C24E77">
      <w:pPr>
        <w:spacing w:after="120"/>
        <w:jc w:val="both"/>
        <w:rPr>
          <w:sz w:val="24"/>
          <w:szCs w:val="24"/>
        </w:rPr>
      </w:pPr>
      <w:r>
        <w:rPr>
          <w:sz w:val="24"/>
          <w:szCs w:val="24"/>
        </w:rPr>
        <w:t>Dále budou dle stanoviska TÚ MMP ze dne 2. 1. 2018 uzavřeny služebnosti na vedení VHI ve prospěch VODÁRNY PLZEŇ a.s., a to:</w:t>
      </w:r>
    </w:p>
    <w:p w:rsidR="00C24E77" w:rsidRDefault="00C24E77" w:rsidP="00C24E77">
      <w:pPr>
        <w:spacing w:after="120"/>
        <w:ind w:left="284" w:hanging="284"/>
        <w:jc w:val="both"/>
        <w:rPr>
          <w:sz w:val="24"/>
          <w:szCs w:val="24"/>
        </w:rPr>
      </w:pPr>
      <w:r>
        <w:rPr>
          <w:sz w:val="24"/>
          <w:szCs w:val="24"/>
        </w:rPr>
        <w:t xml:space="preserve">   - právo na umístění, provozování kanalizační stoky DN 500 včetně jejího ochranného pásma   v majetku VODÁRNY PLZEŇ a.s. a přístupu, příjezdu těžkou technikou k této kanalizaci na povinném pozemku parc.č. 11779/1, k. ú. Plzeň ve vlastnictví SK SPORTCENTRUM ROUDNÁ z.s, a to v rozsahu GP a dále na povinném pozemku parc. č. </w:t>
      </w:r>
      <w:r>
        <w:rPr>
          <w:sz w:val="24"/>
          <w:szCs w:val="24"/>
        </w:rPr>
        <w:lastRenderedPageBreak/>
        <w:t>11779/4, k. ú. Plzeň, a to v rozsahu GP v rámci převodu pozemku do majetku SK SPORTCENTRUM ROUDNÁ z.s.</w:t>
      </w:r>
    </w:p>
    <w:p w:rsidR="00C24E77" w:rsidRDefault="00C24E77" w:rsidP="00C24E77">
      <w:pPr>
        <w:spacing w:after="120"/>
        <w:ind w:left="284" w:hanging="284"/>
        <w:jc w:val="both"/>
        <w:rPr>
          <w:sz w:val="24"/>
          <w:szCs w:val="24"/>
        </w:rPr>
      </w:pPr>
      <w:r>
        <w:rPr>
          <w:sz w:val="24"/>
          <w:szCs w:val="24"/>
        </w:rPr>
        <w:t>    Pracovník vlastníka kanalizační stoky DN 500 nebo jím pověřená třetí osoba i pracovník této třetí osoby (např. provozovatel) bude mít po dobu 24 hodin umožněn volný přístup a příjezd přes vrata umístněná na hranici pozemku parc. č. 11779/4, k.ú. Plzeň s pozemkem parc.č. 12760/1, k.ú. Plzeň za účelem zajištění provozování, přístupu a příjezdu těžkou technikou ke kanalizaci DN 500 v majetku VODÁRNY PLZEŇ a.s. v  celé její délce situované na pozemku parc. č. 11779/1 v k. ú. Plzeň v majetku SK SPORTCENTRUM ROUDNÁ a.s. a na pozemku parc.č. 11779/4, k.ú. Plzeň.</w:t>
      </w:r>
    </w:p>
    <w:p w:rsidR="00C24E77" w:rsidRDefault="00C24E77" w:rsidP="00C24E77">
      <w:pPr>
        <w:jc w:val="both"/>
        <w:rPr>
          <w:sz w:val="24"/>
          <w:szCs w:val="24"/>
        </w:rPr>
      </w:pPr>
      <w:r>
        <w:rPr>
          <w:sz w:val="24"/>
          <w:szCs w:val="24"/>
        </w:rPr>
        <w:t>Shora uvedené služebnosti budou zřízeny na dobu neurčitou, tj. po dobu existence stavby.</w:t>
      </w:r>
    </w:p>
    <w:p w:rsidR="00C24E77" w:rsidRDefault="00C24E77" w:rsidP="00C24E77">
      <w:pPr>
        <w:jc w:val="both"/>
        <w:rPr>
          <w:sz w:val="24"/>
          <w:szCs w:val="24"/>
        </w:rPr>
      </w:pPr>
      <w:r>
        <w:rPr>
          <w:sz w:val="24"/>
          <w:szCs w:val="24"/>
        </w:rPr>
        <w:t>Město Plzeň by tedy uzavřelo s každým klubem samostatnou darovací smlouvu a dále darovací smlouvu na dar pozemků od města Plzně by město uzavřelo s SK SPORTCENTRUM ROUDNÁ z.s.</w:t>
      </w:r>
    </w:p>
    <w:p w:rsidR="00C24E77" w:rsidRDefault="00C24E77" w:rsidP="00C24E77">
      <w:pPr>
        <w:rPr>
          <w:sz w:val="24"/>
          <w:szCs w:val="24"/>
        </w:rPr>
      </w:pPr>
      <w:r>
        <w:rPr>
          <w:sz w:val="24"/>
          <w:szCs w:val="24"/>
        </w:rPr>
        <w:t xml:space="preserve">Ocenění: </w:t>
      </w:r>
    </w:p>
    <w:p w:rsidR="00C24E77" w:rsidRDefault="00C24E77" w:rsidP="00C24E77">
      <w:pPr>
        <w:jc w:val="both"/>
        <w:rPr>
          <w:sz w:val="24"/>
          <w:szCs w:val="24"/>
        </w:rPr>
      </w:pPr>
      <w:r w:rsidRPr="001E2223">
        <w:rPr>
          <w:sz w:val="24"/>
          <w:szCs w:val="24"/>
        </w:rPr>
        <w:t xml:space="preserve">Dle ocenění znaleckého posudku č. </w:t>
      </w:r>
      <w:r>
        <w:rPr>
          <w:sz w:val="24"/>
          <w:szCs w:val="24"/>
        </w:rPr>
        <w:t>1913/2018</w:t>
      </w:r>
      <w:r w:rsidRPr="001E2223">
        <w:rPr>
          <w:sz w:val="24"/>
          <w:szCs w:val="24"/>
        </w:rPr>
        <w:t xml:space="preserve"> ze dne 2</w:t>
      </w:r>
      <w:r>
        <w:rPr>
          <w:sz w:val="24"/>
          <w:szCs w:val="24"/>
        </w:rPr>
        <w:t>0</w:t>
      </w:r>
      <w:r w:rsidRPr="001E2223">
        <w:rPr>
          <w:sz w:val="24"/>
          <w:szCs w:val="24"/>
        </w:rPr>
        <w:t xml:space="preserve">. </w:t>
      </w:r>
      <w:r>
        <w:rPr>
          <w:sz w:val="24"/>
          <w:szCs w:val="24"/>
        </w:rPr>
        <w:t>2</w:t>
      </w:r>
      <w:r w:rsidRPr="001E2223">
        <w:rPr>
          <w:sz w:val="24"/>
          <w:szCs w:val="24"/>
        </w:rPr>
        <w:t>. 201</w:t>
      </w:r>
      <w:r>
        <w:rPr>
          <w:sz w:val="24"/>
          <w:szCs w:val="24"/>
        </w:rPr>
        <w:t>8</w:t>
      </w:r>
      <w:r w:rsidRPr="001E2223">
        <w:rPr>
          <w:sz w:val="24"/>
          <w:szCs w:val="24"/>
        </w:rPr>
        <w:t xml:space="preserve"> vypracovaného znalcem p. Vladislavem Titlem</w:t>
      </w:r>
      <w:r>
        <w:rPr>
          <w:sz w:val="24"/>
          <w:szCs w:val="24"/>
        </w:rPr>
        <w:t xml:space="preserve">  byla cena v místě a čase obvyklá stanovena takto:</w:t>
      </w:r>
    </w:p>
    <w:tbl>
      <w:tblPr>
        <w:tblStyle w:val="Mkatabulky"/>
        <w:tblW w:w="10490" w:type="dxa"/>
        <w:tblInd w:w="-601" w:type="dxa"/>
        <w:tblLayout w:type="fixed"/>
        <w:tblLook w:val="04A0" w:firstRow="1" w:lastRow="0" w:firstColumn="1" w:lastColumn="0" w:noHBand="0" w:noVBand="1"/>
      </w:tblPr>
      <w:tblGrid>
        <w:gridCol w:w="851"/>
        <w:gridCol w:w="1134"/>
        <w:gridCol w:w="992"/>
        <w:gridCol w:w="1134"/>
        <w:gridCol w:w="851"/>
        <w:gridCol w:w="2126"/>
        <w:gridCol w:w="851"/>
        <w:gridCol w:w="1417"/>
        <w:gridCol w:w="1134"/>
      </w:tblGrid>
      <w:tr w:rsidR="00C24E77" w:rsidTr="001B2D33">
        <w:tc>
          <w:tcPr>
            <w:tcW w:w="10490" w:type="dxa"/>
            <w:gridSpan w:val="9"/>
          </w:tcPr>
          <w:p w:rsidR="00C24E77" w:rsidRDefault="00C24E77" w:rsidP="001B2D33">
            <w:pPr>
              <w:spacing w:after="160"/>
              <w:jc w:val="center"/>
              <w:rPr>
                <w:rFonts w:cs="Arial"/>
                <w:sz w:val="24"/>
                <w:szCs w:val="24"/>
              </w:rPr>
            </w:pPr>
            <w:r>
              <w:rPr>
                <w:rFonts w:cs="Arial"/>
                <w:sz w:val="24"/>
                <w:szCs w:val="24"/>
              </w:rPr>
              <w:t>Cena v místě a čase obvyklá</w:t>
            </w:r>
          </w:p>
          <w:p w:rsidR="00C24E77" w:rsidRDefault="00C24E77" w:rsidP="001B2D33">
            <w:pPr>
              <w:spacing w:after="160"/>
              <w:jc w:val="center"/>
              <w:rPr>
                <w:rFonts w:cs="Arial"/>
                <w:sz w:val="24"/>
                <w:szCs w:val="24"/>
              </w:rPr>
            </w:pPr>
            <w:r>
              <w:rPr>
                <w:rFonts w:cs="Arial"/>
                <w:sz w:val="24"/>
                <w:szCs w:val="24"/>
              </w:rPr>
              <w:t>dle budoucího využití</w:t>
            </w:r>
          </w:p>
        </w:tc>
      </w:tr>
      <w:tr w:rsidR="00C24E77" w:rsidTr="001B2D33">
        <w:trPr>
          <w:trHeight w:val="665"/>
        </w:trPr>
        <w:tc>
          <w:tcPr>
            <w:tcW w:w="851" w:type="dxa"/>
          </w:tcPr>
          <w:p w:rsidR="00C24E77" w:rsidRDefault="00C24E77" w:rsidP="001B2D33">
            <w:pPr>
              <w:jc w:val="both"/>
              <w:rPr>
                <w:rFonts w:cs="Arial"/>
                <w:sz w:val="24"/>
                <w:szCs w:val="24"/>
              </w:rPr>
            </w:pPr>
            <w:r>
              <w:rPr>
                <w:rFonts w:cs="Arial"/>
                <w:sz w:val="24"/>
                <w:szCs w:val="24"/>
              </w:rPr>
              <w:t xml:space="preserve">LV č. </w:t>
            </w:r>
          </w:p>
        </w:tc>
        <w:tc>
          <w:tcPr>
            <w:tcW w:w="1134" w:type="dxa"/>
          </w:tcPr>
          <w:p w:rsidR="00C24E77" w:rsidRDefault="00C24E77" w:rsidP="001B2D33">
            <w:pPr>
              <w:jc w:val="both"/>
              <w:rPr>
                <w:rFonts w:cs="Arial"/>
                <w:sz w:val="24"/>
                <w:szCs w:val="24"/>
              </w:rPr>
            </w:pPr>
            <w:r>
              <w:rPr>
                <w:rFonts w:cs="Arial"/>
                <w:sz w:val="24"/>
                <w:szCs w:val="24"/>
              </w:rPr>
              <w:t xml:space="preserve">p.č. </w:t>
            </w:r>
          </w:p>
        </w:tc>
        <w:tc>
          <w:tcPr>
            <w:tcW w:w="992" w:type="dxa"/>
          </w:tcPr>
          <w:p w:rsidR="00C24E77" w:rsidRDefault="00C24E77" w:rsidP="001B2D33">
            <w:pPr>
              <w:jc w:val="center"/>
              <w:rPr>
                <w:rFonts w:cs="Arial"/>
                <w:sz w:val="24"/>
                <w:szCs w:val="24"/>
              </w:rPr>
            </w:pPr>
            <w:r>
              <w:rPr>
                <w:rFonts w:cs="Arial"/>
                <w:sz w:val="24"/>
                <w:szCs w:val="24"/>
              </w:rPr>
              <w:t>Výměra</w:t>
            </w:r>
          </w:p>
          <w:p w:rsidR="00C24E77" w:rsidRDefault="00C24E77" w:rsidP="001B2D33">
            <w:pPr>
              <w:jc w:val="center"/>
              <w:rPr>
                <w:rFonts w:cs="Arial"/>
                <w:sz w:val="24"/>
                <w:szCs w:val="24"/>
              </w:rPr>
            </w:pPr>
            <w:r>
              <w:rPr>
                <w:rFonts w:cs="Arial"/>
                <w:sz w:val="24"/>
                <w:szCs w:val="24"/>
              </w:rPr>
              <w:t>celkem</w:t>
            </w:r>
          </w:p>
        </w:tc>
        <w:tc>
          <w:tcPr>
            <w:tcW w:w="1134" w:type="dxa"/>
          </w:tcPr>
          <w:p w:rsidR="00C24E77" w:rsidRPr="00BB43D3" w:rsidRDefault="00C24E77" w:rsidP="001B2D33">
            <w:pPr>
              <w:jc w:val="center"/>
              <w:rPr>
                <w:rFonts w:cs="Arial"/>
                <w:sz w:val="24"/>
                <w:szCs w:val="24"/>
              </w:rPr>
            </w:pPr>
            <w:r>
              <w:rPr>
                <w:rFonts w:cs="Arial"/>
                <w:sz w:val="24"/>
                <w:szCs w:val="24"/>
              </w:rPr>
              <w:t>Potřebná část cca m</w:t>
            </w:r>
            <w:r>
              <w:rPr>
                <w:rFonts w:cs="Arial"/>
                <w:sz w:val="24"/>
                <w:szCs w:val="24"/>
                <w:vertAlign w:val="superscript"/>
              </w:rPr>
              <w:t>2</w:t>
            </w:r>
          </w:p>
        </w:tc>
        <w:tc>
          <w:tcPr>
            <w:tcW w:w="851" w:type="dxa"/>
          </w:tcPr>
          <w:p w:rsidR="00C24E77" w:rsidRDefault="00C24E77" w:rsidP="001B2D33">
            <w:pPr>
              <w:jc w:val="both"/>
              <w:rPr>
                <w:rFonts w:cs="Arial"/>
                <w:sz w:val="24"/>
                <w:szCs w:val="24"/>
                <w:vertAlign w:val="superscript"/>
              </w:rPr>
            </w:pPr>
            <w:r>
              <w:rPr>
                <w:rFonts w:cs="Arial"/>
                <w:sz w:val="24"/>
                <w:szCs w:val="24"/>
              </w:rPr>
              <w:t>Kč/m</w:t>
            </w:r>
            <w:r>
              <w:rPr>
                <w:rFonts w:cs="Arial"/>
                <w:sz w:val="24"/>
                <w:szCs w:val="24"/>
                <w:vertAlign w:val="superscript"/>
              </w:rPr>
              <w:t>2</w:t>
            </w:r>
          </w:p>
          <w:p w:rsidR="00C24E77" w:rsidRPr="00242171" w:rsidRDefault="00C24E77" w:rsidP="001B2D33">
            <w:pPr>
              <w:jc w:val="center"/>
              <w:rPr>
                <w:rFonts w:cs="Arial"/>
                <w:smallCaps/>
                <w:sz w:val="24"/>
                <w:szCs w:val="24"/>
              </w:rPr>
            </w:pPr>
          </w:p>
        </w:tc>
        <w:tc>
          <w:tcPr>
            <w:tcW w:w="2126" w:type="dxa"/>
          </w:tcPr>
          <w:p w:rsidR="00C24E77" w:rsidRDefault="00C24E77" w:rsidP="001B2D33">
            <w:pPr>
              <w:jc w:val="both"/>
              <w:rPr>
                <w:rFonts w:cs="Arial"/>
                <w:sz w:val="24"/>
                <w:szCs w:val="24"/>
              </w:rPr>
            </w:pPr>
            <w:r>
              <w:rPr>
                <w:rFonts w:cs="Arial"/>
                <w:sz w:val="24"/>
                <w:szCs w:val="24"/>
              </w:rPr>
              <w:t>Venkovní</w:t>
            </w:r>
          </w:p>
          <w:p w:rsidR="00C24E77" w:rsidRPr="00BB43D3" w:rsidRDefault="00C24E77" w:rsidP="001B2D33">
            <w:pPr>
              <w:jc w:val="both"/>
              <w:rPr>
                <w:rFonts w:cs="Arial"/>
                <w:sz w:val="24"/>
                <w:szCs w:val="24"/>
              </w:rPr>
            </w:pPr>
            <w:r>
              <w:rPr>
                <w:rFonts w:cs="Arial"/>
                <w:sz w:val="24"/>
                <w:szCs w:val="24"/>
              </w:rPr>
              <w:t>Úpravy (VÚ)</w:t>
            </w:r>
          </w:p>
        </w:tc>
        <w:tc>
          <w:tcPr>
            <w:tcW w:w="851" w:type="dxa"/>
          </w:tcPr>
          <w:p w:rsidR="00C24E77" w:rsidRDefault="00C24E77" w:rsidP="001B2D33">
            <w:pPr>
              <w:jc w:val="both"/>
              <w:rPr>
                <w:rFonts w:cs="Arial"/>
                <w:sz w:val="24"/>
                <w:szCs w:val="24"/>
                <w:vertAlign w:val="superscript"/>
              </w:rPr>
            </w:pPr>
            <w:r>
              <w:rPr>
                <w:rFonts w:cs="Arial"/>
                <w:sz w:val="24"/>
                <w:szCs w:val="24"/>
              </w:rPr>
              <w:t>Kč/m</w:t>
            </w:r>
            <w:r>
              <w:rPr>
                <w:rFonts w:cs="Arial"/>
                <w:sz w:val="24"/>
                <w:szCs w:val="24"/>
                <w:vertAlign w:val="superscript"/>
              </w:rPr>
              <w:t>2</w:t>
            </w:r>
          </w:p>
          <w:p w:rsidR="00C24E77" w:rsidRDefault="00C24E77" w:rsidP="001B2D33">
            <w:pPr>
              <w:jc w:val="both"/>
              <w:rPr>
                <w:rFonts w:cs="Arial"/>
                <w:sz w:val="24"/>
                <w:szCs w:val="24"/>
              </w:rPr>
            </w:pPr>
            <w:r w:rsidRPr="00242171">
              <w:rPr>
                <w:rFonts w:cs="Arial"/>
                <w:sz w:val="24"/>
                <w:szCs w:val="24"/>
              </w:rPr>
              <w:t xml:space="preserve">vč. </w:t>
            </w:r>
            <w:r>
              <w:rPr>
                <w:rFonts w:cs="Arial"/>
                <w:sz w:val="24"/>
                <w:szCs w:val="24"/>
              </w:rPr>
              <w:t xml:space="preserve">VÚ </w:t>
            </w:r>
          </w:p>
        </w:tc>
        <w:tc>
          <w:tcPr>
            <w:tcW w:w="1417" w:type="dxa"/>
          </w:tcPr>
          <w:p w:rsidR="00C24E77" w:rsidRPr="00242171" w:rsidRDefault="00C24E77" w:rsidP="001B2D33">
            <w:pPr>
              <w:jc w:val="both"/>
              <w:rPr>
                <w:rFonts w:cs="Arial"/>
                <w:sz w:val="24"/>
                <w:szCs w:val="24"/>
              </w:rPr>
            </w:pPr>
            <w:r>
              <w:rPr>
                <w:rFonts w:cs="Arial"/>
                <w:sz w:val="24"/>
                <w:szCs w:val="24"/>
              </w:rPr>
              <w:t>Budoucí využití</w:t>
            </w:r>
          </w:p>
        </w:tc>
        <w:tc>
          <w:tcPr>
            <w:tcW w:w="1134" w:type="dxa"/>
          </w:tcPr>
          <w:p w:rsidR="00C24E77" w:rsidRDefault="00C24E77" w:rsidP="001B2D33">
            <w:pPr>
              <w:jc w:val="both"/>
              <w:rPr>
                <w:rFonts w:cs="Arial"/>
                <w:sz w:val="24"/>
                <w:szCs w:val="24"/>
              </w:rPr>
            </w:pPr>
            <w:r>
              <w:rPr>
                <w:rFonts w:cs="Arial"/>
                <w:sz w:val="24"/>
                <w:szCs w:val="24"/>
              </w:rPr>
              <w:t xml:space="preserve">Celková cena </w:t>
            </w:r>
          </w:p>
          <w:p w:rsidR="00C24E77" w:rsidRDefault="00C24E77" w:rsidP="001B2D33">
            <w:pPr>
              <w:jc w:val="both"/>
              <w:rPr>
                <w:rFonts w:cs="Arial"/>
                <w:sz w:val="24"/>
                <w:szCs w:val="24"/>
              </w:rPr>
            </w:pPr>
            <w:r>
              <w:rPr>
                <w:rFonts w:cs="Arial"/>
                <w:sz w:val="24"/>
                <w:szCs w:val="24"/>
              </w:rPr>
              <w:t>Kč</w:t>
            </w:r>
          </w:p>
        </w:tc>
      </w:tr>
      <w:tr w:rsidR="00C24E77" w:rsidTr="001B2D33">
        <w:trPr>
          <w:trHeight w:val="340"/>
        </w:trPr>
        <w:tc>
          <w:tcPr>
            <w:tcW w:w="851" w:type="dxa"/>
          </w:tcPr>
          <w:p w:rsidR="00C24E77" w:rsidRDefault="00C24E77" w:rsidP="001B2D33">
            <w:pPr>
              <w:rPr>
                <w:rFonts w:cs="Arial"/>
                <w:sz w:val="24"/>
                <w:szCs w:val="24"/>
              </w:rPr>
            </w:pPr>
            <w:r>
              <w:rPr>
                <w:rFonts w:cs="Arial"/>
                <w:sz w:val="24"/>
                <w:szCs w:val="24"/>
              </w:rPr>
              <w:t>12420</w:t>
            </w:r>
          </w:p>
          <w:p w:rsidR="00C24E77" w:rsidRPr="00781637" w:rsidRDefault="00C24E77" w:rsidP="001B2D33">
            <w:pPr>
              <w:rPr>
                <w:rFonts w:cs="Arial"/>
                <w:sz w:val="16"/>
                <w:szCs w:val="16"/>
              </w:rPr>
            </w:pPr>
            <w:r w:rsidRPr="00781637">
              <w:rPr>
                <w:rFonts w:cs="Arial"/>
                <w:sz w:val="16"/>
                <w:szCs w:val="16"/>
              </w:rPr>
              <w:t>TJ Prazdroj</w:t>
            </w:r>
          </w:p>
        </w:tc>
        <w:tc>
          <w:tcPr>
            <w:tcW w:w="1134" w:type="dxa"/>
          </w:tcPr>
          <w:p w:rsidR="00C24E77" w:rsidRDefault="00C24E77" w:rsidP="001B2D33">
            <w:pPr>
              <w:rPr>
                <w:rFonts w:cs="Arial"/>
                <w:sz w:val="24"/>
                <w:szCs w:val="24"/>
              </w:rPr>
            </w:pPr>
            <w:r>
              <w:rPr>
                <w:rFonts w:cs="Arial"/>
                <w:sz w:val="24"/>
                <w:szCs w:val="24"/>
              </w:rPr>
              <w:t>11794/1</w:t>
            </w:r>
          </w:p>
        </w:tc>
        <w:tc>
          <w:tcPr>
            <w:tcW w:w="992" w:type="dxa"/>
          </w:tcPr>
          <w:p w:rsidR="00C24E77" w:rsidRDefault="00C24E77" w:rsidP="001B2D33">
            <w:pPr>
              <w:rPr>
                <w:rFonts w:cs="Arial"/>
                <w:sz w:val="24"/>
                <w:szCs w:val="24"/>
              </w:rPr>
            </w:pPr>
            <w:r>
              <w:rPr>
                <w:rFonts w:cs="Arial"/>
                <w:sz w:val="24"/>
                <w:szCs w:val="24"/>
              </w:rPr>
              <w:t>5008</w:t>
            </w:r>
          </w:p>
        </w:tc>
        <w:tc>
          <w:tcPr>
            <w:tcW w:w="1134" w:type="dxa"/>
          </w:tcPr>
          <w:p w:rsidR="00C24E77" w:rsidRDefault="00C24E77" w:rsidP="001B2D33">
            <w:pPr>
              <w:jc w:val="center"/>
              <w:rPr>
                <w:rFonts w:cs="Arial"/>
                <w:sz w:val="24"/>
                <w:szCs w:val="24"/>
              </w:rPr>
            </w:pPr>
            <w:r>
              <w:rPr>
                <w:rFonts w:cs="Arial"/>
                <w:sz w:val="24"/>
                <w:szCs w:val="24"/>
              </w:rPr>
              <w:t>170</w:t>
            </w:r>
          </w:p>
          <w:p w:rsidR="00C24E77" w:rsidRPr="00BB43D3" w:rsidRDefault="00C24E77" w:rsidP="001B2D33">
            <w:pPr>
              <w:jc w:val="center"/>
              <w:rPr>
                <w:rFonts w:cs="Arial"/>
                <w:sz w:val="24"/>
                <w:szCs w:val="24"/>
              </w:rPr>
            </w:pPr>
            <w:r>
              <w:rPr>
                <w:rFonts w:cs="Arial"/>
                <w:sz w:val="24"/>
                <w:szCs w:val="24"/>
              </w:rPr>
              <w:t>118</w:t>
            </w:r>
          </w:p>
        </w:tc>
        <w:tc>
          <w:tcPr>
            <w:tcW w:w="851" w:type="dxa"/>
          </w:tcPr>
          <w:p w:rsidR="00C24E77" w:rsidRDefault="00C24E77" w:rsidP="001B2D33">
            <w:pPr>
              <w:rPr>
                <w:rFonts w:cs="Arial"/>
                <w:sz w:val="16"/>
                <w:szCs w:val="16"/>
              </w:rPr>
            </w:pPr>
            <w:r>
              <w:rPr>
                <w:rFonts w:cs="Arial"/>
                <w:sz w:val="16"/>
                <w:szCs w:val="16"/>
              </w:rPr>
              <w:t>800</w:t>
            </w:r>
          </w:p>
          <w:p w:rsidR="00C24E77" w:rsidRPr="00242171" w:rsidRDefault="00C24E77" w:rsidP="001B2D33">
            <w:pPr>
              <w:rPr>
                <w:rFonts w:cs="Arial"/>
                <w:sz w:val="16"/>
                <w:szCs w:val="16"/>
              </w:rPr>
            </w:pPr>
          </w:p>
        </w:tc>
        <w:tc>
          <w:tcPr>
            <w:tcW w:w="2126" w:type="dxa"/>
          </w:tcPr>
          <w:p w:rsidR="00C24E77" w:rsidRDefault="00C24E77" w:rsidP="001B2D33">
            <w:pPr>
              <w:rPr>
                <w:rFonts w:cs="Arial"/>
                <w:sz w:val="16"/>
                <w:szCs w:val="16"/>
              </w:rPr>
            </w:pPr>
            <w:r>
              <w:rPr>
                <w:rFonts w:cs="Arial"/>
                <w:sz w:val="16"/>
                <w:szCs w:val="16"/>
              </w:rPr>
              <w:t>Zděný plot, ocelová vrátka, trvalý porost</w:t>
            </w:r>
          </w:p>
          <w:p w:rsidR="00C24E77" w:rsidRPr="002215A2" w:rsidRDefault="00C24E77" w:rsidP="001B2D33">
            <w:pPr>
              <w:rPr>
                <w:rFonts w:cs="Arial"/>
                <w:sz w:val="16"/>
                <w:szCs w:val="16"/>
              </w:rPr>
            </w:pPr>
            <w:r>
              <w:rPr>
                <w:rFonts w:cs="Arial"/>
                <w:sz w:val="16"/>
                <w:szCs w:val="16"/>
              </w:rPr>
              <w:t>Zděný plot, ocelová vrata</w:t>
            </w:r>
          </w:p>
        </w:tc>
        <w:tc>
          <w:tcPr>
            <w:tcW w:w="851" w:type="dxa"/>
          </w:tcPr>
          <w:p w:rsidR="00C24E77" w:rsidRDefault="00C24E77" w:rsidP="001B2D33">
            <w:pPr>
              <w:rPr>
                <w:rFonts w:cs="Arial"/>
                <w:sz w:val="16"/>
                <w:szCs w:val="16"/>
              </w:rPr>
            </w:pPr>
            <w:r>
              <w:rPr>
                <w:rFonts w:cs="Arial"/>
                <w:sz w:val="16"/>
                <w:szCs w:val="16"/>
              </w:rPr>
              <w:t>1 110</w:t>
            </w:r>
          </w:p>
          <w:p w:rsidR="00C24E77" w:rsidRDefault="00C24E77" w:rsidP="001B2D33">
            <w:pPr>
              <w:rPr>
                <w:rFonts w:cs="Arial"/>
                <w:sz w:val="16"/>
                <w:szCs w:val="16"/>
              </w:rPr>
            </w:pPr>
          </w:p>
          <w:p w:rsidR="00C24E77" w:rsidRPr="002215A2" w:rsidRDefault="00C24E77" w:rsidP="001B2D33">
            <w:pPr>
              <w:rPr>
                <w:rFonts w:cs="Arial"/>
                <w:sz w:val="16"/>
                <w:szCs w:val="16"/>
              </w:rPr>
            </w:pPr>
            <w:r>
              <w:rPr>
                <w:rFonts w:cs="Arial"/>
                <w:sz w:val="16"/>
                <w:szCs w:val="16"/>
              </w:rPr>
              <w:t>1 084</w:t>
            </w:r>
          </w:p>
        </w:tc>
        <w:tc>
          <w:tcPr>
            <w:tcW w:w="1417" w:type="dxa"/>
          </w:tcPr>
          <w:p w:rsidR="00C24E77" w:rsidRDefault="00C24E77" w:rsidP="001B2D33">
            <w:pPr>
              <w:rPr>
                <w:rFonts w:cs="Arial"/>
                <w:sz w:val="24"/>
                <w:szCs w:val="24"/>
              </w:rPr>
            </w:pPr>
            <w:r>
              <w:rPr>
                <w:rFonts w:cs="Arial"/>
                <w:sz w:val="16"/>
                <w:szCs w:val="16"/>
              </w:rPr>
              <w:t>v budoucím koridoru ul. Lipová</w:t>
            </w:r>
          </w:p>
        </w:tc>
        <w:tc>
          <w:tcPr>
            <w:tcW w:w="1134" w:type="dxa"/>
          </w:tcPr>
          <w:p w:rsidR="00C24E77" w:rsidRDefault="00C24E77" w:rsidP="001B2D33">
            <w:pPr>
              <w:rPr>
                <w:rFonts w:cs="Arial"/>
                <w:sz w:val="24"/>
                <w:szCs w:val="24"/>
              </w:rPr>
            </w:pPr>
            <w:r>
              <w:rPr>
                <w:rFonts w:cs="Arial"/>
                <w:sz w:val="24"/>
                <w:szCs w:val="24"/>
              </w:rPr>
              <w:t>316 612</w:t>
            </w:r>
          </w:p>
        </w:tc>
      </w:tr>
      <w:tr w:rsidR="00C24E77" w:rsidTr="001B2D33">
        <w:trPr>
          <w:trHeight w:val="340"/>
        </w:trPr>
        <w:tc>
          <w:tcPr>
            <w:tcW w:w="851" w:type="dxa"/>
          </w:tcPr>
          <w:p w:rsidR="00C24E77" w:rsidRDefault="00C24E77" w:rsidP="001B2D33">
            <w:pPr>
              <w:rPr>
                <w:rFonts w:cs="Arial"/>
                <w:sz w:val="24"/>
                <w:szCs w:val="24"/>
              </w:rPr>
            </w:pPr>
          </w:p>
        </w:tc>
        <w:tc>
          <w:tcPr>
            <w:tcW w:w="1134" w:type="dxa"/>
          </w:tcPr>
          <w:p w:rsidR="00C24E77" w:rsidRDefault="00C24E77" w:rsidP="001B2D33">
            <w:pPr>
              <w:rPr>
                <w:rFonts w:cs="Arial"/>
                <w:sz w:val="24"/>
                <w:szCs w:val="24"/>
              </w:rPr>
            </w:pPr>
            <w:r>
              <w:rPr>
                <w:rFonts w:cs="Arial"/>
                <w:sz w:val="24"/>
                <w:szCs w:val="24"/>
              </w:rPr>
              <w:t>12062/1</w:t>
            </w:r>
          </w:p>
        </w:tc>
        <w:tc>
          <w:tcPr>
            <w:tcW w:w="992" w:type="dxa"/>
          </w:tcPr>
          <w:p w:rsidR="00C24E77" w:rsidRDefault="00C24E77" w:rsidP="001B2D33">
            <w:pPr>
              <w:rPr>
                <w:rFonts w:cs="Arial"/>
                <w:sz w:val="24"/>
                <w:szCs w:val="24"/>
              </w:rPr>
            </w:pPr>
            <w:r>
              <w:rPr>
                <w:rFonts w:cs="Arial"/>
                <w:sz w:val="24"/>
                <w:szCs w:val="24"/>
              </w:rPr>
              <w:t>7690</w:t>
            </w:r>
          </w:p>
        </w:tc>
        <w:tc>
          <w:tcPr>
            <w:tcW w:w="1134" w:type="dxa"/>
          </w:tcPr>
          <w:p w:rsidR="00C24E77" w:rsidRDefault="00C24E77" w:rsidP="001B2D33">
            <w:pPr>
              <w:jc w:val="center"/>
              <w:rPr>
                <w:rFonts w:cs="Arial"/>
                <w:sz w:val="24"/>
                <w:szCs w:val="24"/>
              </w:rPr>
            </w:pPr>
            <w:r>
              <w:rPr>
                <w:rFonts w:cs="Arial"/>
                <w:sz w:val="24"/>
                <w:szCs w:val="24"/>
              </w:rPr>
              <w:t>452</w:t>
            </w:r>
          </w:p>
        </w:tc>
        <w:tc>
          <w:tcPr>
            <w:tcW w:w="851" w:type="dxa"/>
          </w:tcPr>
          <w:p w:rsidR="00C24E77" w:rsidRPr="00F44E39" w:rsidRDefault="00C24E77" w:rsidP="001B2D33">
            <w:pPr>
              <w:rPr>
                <w:rFonts w:cs="Arial"/>
                <w:sz w:val="16"/>
                <w:szCs w:val="16"/>
              </w:rPr>
            </w:pPr>
            <w:r w:rsidRPr="00F44E39">
              <w:rPr>
                <w:rFonts w:cs="Arial"/>
                <w:sz w:val="16"/>
                <w:szCs w:val="16"/>
              </w:rPr>
              <w:t>800</w:t>
            </w:r>
          </w:p>
        </w:tc>
        <w:tc>
          <w:tcPr>
            <w:tcW w:w="2126" w:type="dxa"/>
          </w:tcPr>
          <w:p w:rsidR="00C24E77" w:rsidRDefault="00C24E77" w:rsidP="001B2D33">
            <w:pPr>
              <w:rPr>
                <w:rFonts w:cs="Arial"/>
                <w:sz w:val="24"/>
                <w:szCs w:val="24"/>
              </w:rPr>
            </w:pPr>
          </w:p>
        </w:tc>
        <w:tc>
          <w:tcPr>
            <w:tcW w:w="851" w:type="dxa"/>
          </w:tcPr>
          <w:p w:rsidR="00C24E77" w:rsidRDefault="00C24E77" w:rsidP="001B2D33">
            <w:pPr>
              <w:rPr>
                <w:rFonts w:cs="Arial"/>
                <w:sz w:val="24"/>
                <w:szCs w:val="24"/>
              </w:rPr>
            </w:pPr>
          </w:p>
        </w:tc>
        <w:tc>
          <w:tcPr>
            <w:tcW w:w="1417" w:type="dxa"/>
          </w:tcPr>
          <w:p w:rsidR="00C24E77" w:rsidRPr="00F44E39" w:rsidRDefault="00C24E77" w:rsidP="001B2D33">
            <w:pPr>
              <w:rPr>
                <w:rFonts w:cs="Arial"/>
                <w:sz w:val="16"/>
                <w:szCs w:val="16"/>
              </w:rPr>
            </w:pPr>
            <w:r>
              <w:rPr>
                <w:rFonts w:cs="Arial"/>
                <w:sz w:val="16"/>
                <w:szCs w:val="16"/>
              </w:rPr>
              <w:t>Rekonstr. chodníku ul. pod Všemi svatými</w:t>
            </w:r>
          </w:p>
        </w:tc>
        <w:tc>
          <w:tcPr>
            <w:tcW w:w="1134" w:type="dxa"/>
          </w:tcPr>
          <w:p w:rsidR="00C24E77" w:rsidRDefault="00C24E77" w:rsidP="001B2D33">
            <w:pPr>
              <w:rPr>
                <w:rFonts w:cs="Arial"/>
                <w:sz w:val="24"/>
                <w:szCs w:val="24"/>
              </w:rPr>
            </w:pPr>
            <w:r>
              <w:rPr>
                <w:rFonts w:cs="Arial"/>
                <w:sz w:val="24"/>
                <w:szCs w:val="24"/>
              </w:rPr>
              <w:t>361 600</w:t>
            </w:r>
          </w:p>
        </w:tc>
      </w:tr>
      <w:tr w:rsidR="00C24E77" w:rsidTr="001B2D33">
        <w:trPr>
          <w:trHeight w:val="340"/>
        </w:trPr>
        <w:tc>
          <w:tcPr>
            <w:tcW w:w="9356" w:type="dxa"/>
            <w:gridSpan w:val="8"/>
          </w:tcPr>
          <w:p w:rsidR="00C24E77" w:rsidRPr="00372518" w:rsidRDefault="00C24E77" w:rsidP="001B2D33">
            <w:pPr>
              <w:rPr>
                <w:rFonts w:cs="Arial"/>
                <w:sz w:val="16"/>
                <w:szCs w:val="16"/>
              </w:rPr>
            </w:pPr>
            <w:r>
              <w:rPr>
                <w:rFonts w:cs="Arial"/>
                <w:sz w:val="16"/>
                <w:szCs w:val="16"/>
              </w:rPr>
              <w:t>Majetek TJ Prazdroj Plzeň z.s. celkem                    740 m</w:t>
            </w:r>
            <w:r>
              <w:rPr>
                <w:rFonts w:cs="Arial"/>
                <w:sz w:val="16"/>
                <w:szCs w:val="16"/>
                <w:vertAlign w:val="superscript"/>
              </w:rPr>
              <w:t>2</w:t>
            </w:r>
          </w:p>
        </w:tc>
        <w:tc>
          <w:tcPr>
            <w:tcW w:w="1134" w:type="dxa"/>
          </w:tcPr>
          <w:p w:rsidR="00C24E77" w:rsidRPr="00E1770D" w:rsidRDefault="00C24E77" w:rsidP="001B2D33">
            <w:pPr>
              <w:rPr>
                <w:rFonts w:cs="Arial"/>
                <w:b/>
                <w:sz w:val="24"/>
                <w:szCs w:val="24"/>
              </w:rPr>
            </w:pPr>
            <w:r w:rsidRPr="00E1770D">
              <w:rPr>
                <w:rFonts w:cs="Arial"/>
                <w:b/>
                <w:sz w:val="24"/>
                <w:szCs w:val="24"/>
              </w:rPr>
              <w:t>678 212</w:t>
            </w:r>
          </w:p>
        </w:tc>
      </w:tr>
      <w:tr w:rsidR="00C24E77" w:rsidTr="001B2D33">
        <w:trPr>
          <w:trHeight w:val="340"/>
        </w:trPr>
        <w:tc>
          <w:tcPr>
            <w:tcW w:w="851" w:type="dxa"/>
          </w:tcPr>
          <w:p w:rsidR="00C24E77" w:rsidRDefault="00C24E77" w:rsidP="001B2D33">
            <w:pPr>
              <w:rPr>
                <w:rFonts w:cs="Arial"/>
                <w:sz w:val="24"/>
                <w:szCs w:val="24"/>
              </w:rPr>
            </w:pPr>
            <w:r>
              <w:rPr>
                <w:rFonts w:cs="Arial"/>
                <w:sz w:val="24"/>
                <w:szCs w:val="24"/>
              </w:rPr>
              <w:t>1 MP</w:t>
            </w:r>
          </w:p>
        </w:tc>
        <w:tc>
          <w:tcPr>
            <w:tcW w:w="1134" w:type="dxa"/>
          </w:tcPr>
          <w:p w:rsidR="00C24E77" w:rsidRDefault="00C24E77" w:rsidP="001B2D33">
            <w:pPr>
              <w:rPr>
                <w:rFonts w:cs="Arial"/>
                <w:sz w:val="24"/>
                <w:szCs w:val="24"/>
              </w:rPr>
            </w:pPr>
            <w:r>
              <w:rPr>
                <w:rFonts w:cs="Arial"/>
                <w:sz w:val="24"/>
                <w:szCs w:val="24"/>
              </w:rPr>
              <w:t>11793/1</w:t>
            </w:r>
          </w:p>
        </w:tc>
        <w:tc>
          <w:tcPr>
            <w:tcW w:w="992" w:type="dxa"/>
          </w:tcPr>
          <w:p w:rsidR="00C24E77" w:rsidRDefault="00C24E77" w:rsidP="001B2D33">
            <w:pPr>
              <w:rPr>
                <w:rFonts w:cs="Arial"/>
                <w:sz w:val="24"/>
                <w:szCs w:val="24"/>
              </w:rPr>
            </w:pPr>
            <w:r>
              <w:rPr>
                <w:rFonts w:cs="Arial"/>
                <w:sz w:val="24"/>
                <w:szCs w:val="24"/>
              </w:rPr>
              <w:t>2748</w:t>
            </w:r>
          </w:p>
        </w:tc>
        <w:tc>
          <w:tcPr>
            <w:tcW w:w="1134" w:type="dxa"/>
          </w:tcPr>
          <w:p w:rsidR="00C24E77" w:rsidRDefault="00C24E77" w:rsidP="001B2D33">
            <w:pPr>
              <w:rPr>
                <w:rFonts w:cs="Arial"/>
                <w:sz w:val="24"/>
                <w:szCs w:val="24"/>
              </w:rPr>
            </w:pPr>
            <w:r>
              <w:rPr>
                <w:rFonts w:cs="Arial"/>
                <w:sz w:val="24"/>
                <w:szCs w:val="24"/>
              </w:rPr>
              <w:t xml:space="preserve">    348</w:t>
            </w:r>
          </w:p>
        </w:tc>
        <w:tc>
          <w:tcPr>
            <w:tcW w:w="851" w:type="dxa"/>
          </w:tcPr>
          <w:p w:rsidR="00C24E77" w:rsidRPr="00781637" w:rsidRDefault="00C24E77" w:rsidP="001B2D33">
            <w:pPr>
              <w:rPr>
                <w:rFonts w:cs="Arial"/>
                <w:sz w:val="16"/>
                <w:szCs w:val="16"/>
              </w:rPr>
            </w:pPr>
            <w:r>
              <w:rPr>
                <w:rFonts w:cs="Arial"/>
                <w:sz w:val="16"/>
                <w:szCs w:val="16"/>
              </w:rPr>
              <w:t>1 323, 96</w:t>
            </w:r>
          </w:p>
        </w:tc>
        <w:tc>
          <w:tcPr>
            <w:tcW w:w="2126" w:type="dxa"/>
          </w:tcPr>
          <w:p w:rsidR="00C24E77" w:rsidRPr="00781637" w:rsidRDefault="00C24E77" w:rsidP="001B2D33">
            <w:pPr>
              <w:rPr>
                <w:rFonts w:cs="Arial"/>
                <w:sz w:val="16"/>
                <w:szCs w:val="16"/>
              </w:rPr>
            </w:pPr>
            <w:r w:rsidRPr="00781637">
              <w:rPr>
                <w:rFonts w:cs="Arial"/>
                <w:sz w:val="16"/>
                <w:szCs w:val="16"/>
              </w:rPr>
              <w:t>Trvalý porost</w:t>
            </w:r>
          </w:p>
        </w:tc>
        <w:tc>
          <w:tcPr>
            <w:tcW w:w="851" w:type="dxa"/>
          </w:tcPr>
          <w:p w:rsidR="00C24E77" w:rsidRPr="00781637" w:rsidRDefault="00C24E77" w:rsidP="001B2D33">
            <w:pPr>
              <w:rPr>
                <w:rFonts w:cs="Arial"/>
                <w:sz w:val="16"/>
                <w:szCs w:val="16"/>
              </w:rPr>
            </w:pPr>
            <w:r>
              <w:rPr>
                <w:rFonts w:cs="Arial"/>
                <w:sz w:val="16"/>
                <w:szCs w:val="16"/>
              </w:rPr>
              <w:t>1 327</w:t>
            </w:r>
          </w:p>
        </w:tc>
        <w:tc>
          <w:tcPr>
            <w:tcW w:w="1417" w:type="dxa"/>
          </w:tcPr>
          <w:p w:rsidR="00C24E77" w:rsidRPr="00781637" w:rsidRDefault="00C24E77" w:rsidP="001B2D33">
            <w:pPr>
              <w:rPr>
                <w:rFonts w:cs="Arial"/>
                <w:sz w:val="16"/>
                <w:szCs w:val="16"/>
              </w:rPr>
            </w:pPr>
            <w:r>
              <w:rPr>
                <w:rFonts w:cs="Arial"/>
                <w:sz w:val="16"/>
                <w:szCs w:val="16"/>
              </w:rPr>
              <w:t>Pro parkovací stání (cca 20 míst)</w:t>
            </w:r>
          </w:p>
        </w:tc>
        <w:tc>
          <w:tcPr>
            <w:tcW w:w="1134" w:type="dxa"/>
          </w:tcPr>
          <w:p w:rsidR="00C24E77" w:rsidRDefault="00C24E77" w:rsidP="001B2D33">
            <w:pPr>
              <w:rPr>
                <w:rFonts w:cs="Arial"/>
                <w:sz w:val="24"/>
                <w:szCs w:val="24"/>
              </w:rPr>
            </w:pPr>
            <w:r>
              <w:rPr>
                <w:rFonts w:cs="Arial"/>
                <w:sz w:val="24"/>
                <w:szCs w:val="24"/>
              </w:rPr>
              <w:t>461 796</w:t>
            </w:r>
          </w:p>
          <w:p w:rsidR="00C24E77" w:rsidRPr="005D376E" w:rsidRDefault="00C24E77" w:rsidP="001B2D33">
            <w:pPr>
              <w:rPr>
                <w:rFonts w:cs="Arial"/>
                <w:sz w:val="16"/>
                <w:szCs w:val="16"/>
              </w:rPr>
            </w:pPr>
            <w:r w:rsidRPr="005D376E">
              <w:rPr>
                <w:rFonts w:cs="Arial"/>
                <w:b/>
                <w:sz w:val="16"/>
                <w:szCs w:val="16"/>
              </w:rPr>
              <w:t>558 773</w:t>
            </w:r>
            <w:r w:rsidRPr="005D376E">
              <w:rPr>
                <w:rFonts w:cs="Arial"/>
                <w:sz w:val="16"/>
                <w:szCs w:val="16"/>
              </w:rPr>
              <w:t xml:space="preserve"> </w:t>
            </w:r>
            <w:r w:rsidRPr="00E1770D">
              <w:rPr>
                <w:rFonts w:cs="Arial"/>
                <w:b/>
                <w:sz w:val="16"/>
                <w:szCs w:val="16"/>
              </w:rPr>
              <w:t>vč. DPH</w:t>
            </w:r>
          </w:p>
        </w:tc>
      </w:tr>
    </w:tbl>
    <w:p w:rsidR="00C24E77" w:rsidRDefault="00C24E77" w:rsidP="00C24E77"/>
    <w:p w:rsidR="00C24E77" w:rsidRPr="00DF7B70" w:rsidRDefault="00C24E77" w:rsidP="00C24E77">
      <w:pPr>
        <w:rPr>
          <w:sz w:val="24"/>
          <w:szCs w:val="24"/>
        </w:rPr>
      </w:pPr>
      <w:r w:rsidRPr="00CE67D7">
        <w:rPr>
          <w:sz w:val="24"/>
          <w:szCs w:val="24"/>
        </w:rPr>
        <w:t>Hodnota majetku ve vlastnictví TJ Prazdroj Plzeň z.s. činí 678 212 Kč</w:t>
      </w:r>
      <w:r>
        <w:rPr>
          <w:sz w:val="24"/>
          <w:szCs w:val="24"/>
        </w:rPr>
        <w:t xml:space="preserve"> včetně venkovních a stavebních úprav, po upřesnění výměr GP činí 684 018 Kč (celková výměra dle GP  - 749 m</w:t>
      </w:r>
      <w:r>
        <w:rPr>
          <w:sz w:val="24"/>
          <w:szCs w:val="24"/>
          <w:vertAlign w:val="superscript"/>
        </w:rPr>
        <w:t>2</w:t>
      </w:r>
      <w:r>
        <w:rPr>
          <w:sz w:val="24"/>
          <w:szCs w:val="24"/>
        </w:rPr>
        <w:t>)</w:t>
      </w:r>
    </w:p>
    <w:p w:rsidR="00C24E77" w:rsidRPr="00CE67D7" w:rsidRDefault="00C24E77" w:rsidP="00C24E77">
      <w:pPr>
        <w:rPr>
          <w:sz w:val="24"/>
          <w:szCs w:val="24"/>
        </w:rPr>
      </w:pPr>
      <w:r w:rsidRPr="00CE67D7">
        <w:rPr>
          <w:sz w:val="24"/>
          <w:szCs w:val="24"/>
        </w:rPr>
        <w:t>Hodnota majetku ve vlastnictví města Plzně činí 558 773 Kč včetně DPH.</w:t>
      </w:r>
    </w:p>
    <w:p w:rsidR="00C24E77" w:rsidRDefault="00C24E77" w:rsidP="00C24E77"/>
    <w:tbl>
      <w:tblPr>
        <w:tblStyle w:val="Mkatabulky"/>
        <w:tblW w:w="10490" w:type="dxa"/>
        <w:tblInd w:w="-601" w:type="dxa"/>
        <w:tblLayout w:type="fixed"/>
        <w:tblLook w:val="04A0" w:firstRow="1" w:lastRow="0" w:firstColumn="1" w:lastColumn="0" w:noHBand="0" w:noVBand="1"/>
      </w:tblPr>
      <w:tblGrid>
        <w:gridCol w:w="851"/>
        <w:gridCol w:w="1134"/>
        <w:gridCol w:w="992"/>
        <w:gridCol w:w="1134"/>
        <w:gridCol w:w="851"/>
        <w:gridCol w:w="2126"/>
        <w:gridCol w:w="851"/>
        <w:gridCol w:w="1417"/>
        <w:gridCol w:w="1134"/>
      </w:tblGrid>
      <w:tr w:rsidR="00C24E77" w:rsidTr="001B2D33">
        <w:tc>
          <w:tcPr>
            <w:tcW w:w="10490" w:type="dxa"/>
            <w:gridSpan w:val="9"/>
          </w:tcPr>
          <w:p w:rsidR="00C24E77" w:rsidRDefault="00C24E77" w:rsidP="001B2D33">
            <w:pPr>
              <w:spacing w:after="160"/>
              <w:jc w:val="center"/>
              <w:rPr>
                <w:rFonts w:cs="Arial"/>
                <w:sz w:val="24"/>
                <w:szCs w:val="24"/>
              </w:rPr>
            </w:pPr>
            <w:r>
              <w:rPr>
                <w:rFonts w:cs="Arial"/>
                <w:sz w:val="24"/>
                <w:szCs w:val="24"/>
              </w:rPr>
              <w:t>Cena v místě a čase obvyklá</w:t>
            </w:r>
          </w:p>
          <w:p w:rsidR="00C24E77" w:rsidRDefault="00C24E77" w:rsidP="001B2D33">
            <w:pPr>
              <w:spacing w:after="160"/>
              <w:jc w:val="center"/>
              <w:rPr>
                <w:rFonts w:cs="Arial"/>
                <w:sz w:val="24"/>
                <w:szCs w:val="24"/>
              </w:rPr>
            </w:pPr>
            <w:r>
              <w:rPr>
                <w:rFonts w:cs="Arial"/>
                <w:sz w:val="24"/>
                <w:szCs w:val="24"/>
              </w:rPr>
              <w:t>dle budoucího využití</w:t>
            </w:r>
          </w:p>
        </w:tc>
      </w:tr>
      <w:tr w:rsidR="00C24E77" w:rsidTr="001B2D33">
        <w:trPr>
          <w:trHeight w:val="665"/>
        </w:trPr>
        <w:tc>
          <w:tcPr>
            <w:tcW w:w="851" w:type="dxa"/>
          </w:tcPr>
          <w:p w:rsidR="00C24E77" w:rsidRDefault="00C24E77" w:rsidP="001B2D33">
            <w:pPr>
              <w:jc w:val="both"/>
              <w:rPr>
                <w:rFonts w:cs="Arial"/>
                <w:sz w:val="24"/>
                <w:szCs w:val="24"/>
              </w:rPr>
            </w:pPr>
            <w:r>
              <w:rPr>
                <w:rFonts w:cs="Arial"/>
                <w:sz w:val="24"/>
                <w:szCs w:val="24"/>
              </w:rPr>
              <w:t xml:space="preserve">LV č. </w:t>
            </w:r>
          </w:p>
        </w:tc>
        <w:tc>
          <w:tcPr>
            <w:tcW w:w="1134" w:type="dxa"/>
          </w:tcPr>
          <w:p w:rsidR="00C24E77" w:rsidRDefault="00C24E77" w:rsidP="001B2D33">
            <w:pPr>
              <w:jc w:val="both"/>
              <w:rPr>
                <w:rFonts w:cs="Arial"/>
                <w:sz w:val="24"/>
                <w:szCs w:val="24"/>
              </w:rPr>
            </w:pPr>
            <w:r>
              <w:rPr>
                <w:rFonts w:cs="Arial"/>
                <w:sz w:val="24"/>
                <w:szCs w:val="24"/>
              </w:rPr>
              <w:t xml:space="preserve">p.č. </w:t>
            </w:r>
          </w:p>
        </w:tc>
        <w:tc>
          <w:tcPr>
            <w:tcW w:w="992" w:type="dxa"/>
          </w:tcPr>
          <w:p w:rsidR="00C24E77" w:rsidRDefault="00C24E77" w:rsidP="001B2D33">
            <w:pPr>
              <w:jc w:val="center"/>
              <w:rPr>
                <w:rFonts w:cs="Arial"/>
                <w:sz w:val="24"/>
                <w:szCs w:val="24"/>
              </w:rPr>
            </w:pPr>
            <w:r>
              <w:rPr>
                <w:rFonts w:cs="Arial"/>
                <w:sz w:val="24"/>
                <w:szCs w:val="24"/>
              </w:rPr>
              <w:t>Výměra</w:t>
            </w:r>
          </w:p>
          <w:p w:rsidR="00C24E77" w:rsidRDefault="00C24E77" w:rsidP="001B2D33">
            <w:pPr>
              <w:jc w:val="center"/>
              <w:rPr>
                <w:rFonts w:cs="Arial"/>
                <w:sz w:val="24"/>
                <w:szCs w:val="24"/>
              </w:rPr>
            </w:pPr>
            <w:r>
              <w:rPr>
                <w:rFonts w:cs="Arial"/>
                <w:sz w:val="24"/>
                <w:szCs w:val="24"/>
              </w:rPr>
              <w:t>celkem</w:t>
            </w:r>
          </w:p>
        </w:tc>
        <w:tc>
          <w:tcPr>
            <w:tcW w:w="1134" w:type="dxa"/>
          </w:tcPr>
          <w:p w:rsidR="00C24E77" w:rsidRPr="00BB43D3" w:rsidRDefault="00C24E77" w:rsidP="001B2D33">
            <w:pPr>
              <w:jc w:val="center"/>
              <w:rPr>
                <w:rFonts w:cs="Arial"/>
                <w:sz w:val="24"/>
                <w:szCs w:val="24"/>
              </w:rPr>
            </w:pPr>
            <w:r>
              <w:rPr>
                <w:rFonts w:cs="Arial"/>
                <w:sz w:val="24"/>
                <w:szCs w:val="24"/>
              </w:rPr>
              <w:t>Potřebná část cca m</w:t>
            </w:r>
            <w:r>
              <w:rPr>
                <w:rFonts w:cs="Arial"/>
                <w:sz w:val="24"/>
                <w:szCs w:val="24"/>
                <w:vertAlign w:val="superscript"/>
              </w:rPr>
              <w:t>2</w:t>
            </w:r>
          </w:p>
        </w:tc>
        <w:tc>
          <w:tcPr>
            <w:tcW w:w="851" w:type="dxa"/>
          </w:tcPr>
          <w:p w:rsidR="00C24E77" w:rsidRDefault="00C24E77" w:rsidP="001B2D33">
            <w:pPr>
              <w:jc w:val="both"/>
              <w:rPr>
                <w:rFonts w:cs="Arial"/>
                <w:sz w:val="24"/>
                <w:szCs w:val="24"/>
                <w:vertAlign w:val="superscript"/>
              </w:rPr>
            </w:pPr>
            <w:r>
              <w:rPr>
                <w:rFonts w:cs="Arial"/>
                <w:sz w:val="24"/>
                <w:szCs w:val="24"/>
              </w:rPr>
              <w:t>Kč/m</w:t>
            </w:r>
            <w:r>
              <w:rPr>
                <w:rFonts w:cs="Arial"/>
                <w:sz w:val="24"/>
                <w:szCs w:val="24"/>
                <w:vertAlign w:val="superscript"/>
              </w:rPr>
              <w:t>2</w:t>
            </w:r>
          </w:p>
          <w:p w:rsidR="00C24E77" w:rsidRPr="00242171" w:rsidRDefault="00C24E77" w:rsidP="001B2D33">
            <w:pPr>
              <w:jc w:val="center"/>
              <w:rPr>
                <w:rFonts w:cs="Arial"/>
                <w:smallCaps/>
                <w:sz w:val="24"/>
                <w:szCs w:val="24"/>
              </w:rPr>
            </w:pPr>
          </w:p>
        </w:tc>
        <w:tc>
          <w:tcPr>
            <w:tcW w:w="2126" w:type="dxa"/>
          </w:tcPr>
          <w:p w:rsidR="00C24E77" w:rsidRDefault="00C24E77" w:rsidP="001B2D33">
            <w:pPr>
              <w:jc w:val="both"/>
              <w:rPr>
                <w:rFonts w:cs="Arial"/>
                <w:sz w:val="24"/>
                <w:szCs w:val="24"/>
              </w:rPr>
            </w:pPr>
            <w:r>
              <w:rPr>
                <w:rFonts w:cs="Arial"/>
                <w:sz w:val="24"/>
                <w:szCs w:val="24"/>
              </w:rPr>
              <w:t>Venkovní</w:t>
            </w:r>
          </w:p>
          <w:p w:rsidR="00C24E77" w:rsidRPr="00BB43D3" w:rsidRDefault="00C24E77" w:rsidP="001B2D33">
            <w:pPr>
              <w:jc w:val="both"/>
              <w:rPr>
                <w:rFonts w:cs="Arial"/>
                <w:sz w:val="24"/>
                <w:szCs w:val="24"/>
              </w:rPr>
            </w:pPr>
            <w:r>
              <w:rPr>
                <w:rFonts w:cs="Arial"/>
                <w:sz w:val="24"/>
                <w:szCs w:val="24"/>
              </w:rPr>
              <w:t>Úpravy (VÚ)</w:t>
            </w:r>
          </w:p>
        </w:tc>
        <w:tc>
          <w:tcPr>
            <w:tcW w:w="851" w:type="dxa"/>
          </w:tcPr>
          <w:p w:rsidR="00C24E77" w:rsidRDefault="00C24E77" w:rsidP="001B2D33">
            <w:pPr>
              <w:jc w:val="both"/>
              <w:rPr>
                <w:rFonts w:cs="Arial"/>
                <w:sz w:val="24"/>
                <w:szCs w:val="24"/>
                <w:vertAlign w:val="superscript"/>
              </w:rPr>
            </w:pPr>
            <w:r>
              <w:rPr>
                <w:rFonts w:cs="Arial"/>
                <w:sz w:val="24"/>
                <w:szCs w:val="24"/>
              </w:rPr>
              <w:t>Kč/m</w:t>
            </w:r>
            <w:r>
              <w:rPr>
                <w:rFonts w:cs="Arial"/>
                <w:sz w:val="24"/>
                <w:szCs w:val="24"/>
                <w:vertAlign w:val="superscript"/>
              </w:rPr>
              <w:t>2</w:t>
            </w:r>
          </w:p>
          <w:p w:rsidR="00C24E77" w:rsidRDefault="00C24E77" w:rsidP="001B2D33">
            <w:pPr>
              <w:jc w:val="both"/>
              <w:rPr>
                <w:rFonts w:cs="Arial"/>
                <w:sz w:val="24"/>
                <w:szCs w:val="24"/>
              </w:rPr>
            </w:pPr>
            <w:r w:rsidRPr="00242171">
              <w:rPr>
                <w:rFonts w:cs="Arial"/>
                <w:sz w:val="24"/>
                <w:szCs w:val="24"/>
              </w:rPr>
              <w:t xml:space="preserve">vč. </w:t>
            </w:r>
            <w:r>
              <w:rPr>
                <w:rFonts w:cs="Arial"/>
                <w:sz w:val="24"/>
                <w:szCs w:val="24"/>
              </w:rPr>
              <w:t xml:space="preserve">VÚ </w:t>
            </w:r>
          </w:p>
        </w:tc>
        <w:tc>
          <w:tcPr>
            <w:tcW w:w="1417" w:type="dxa"/>
          </w:tcPr>
          <w:p w:rsidR="00C24E77" w:rsidRPr="00242171" w:rsidRDefault="00C24E77" w:rsidP="001B2D33">
            <w:pPr>
              <w:jc w:val="both"/>
              <w:rPr>
                <w:rFonts w:cs="Arial"/>
                <w:sz w:val="24"/>
                <w:szCs w:val="24"/>
              </w:rPr>
            </w:pPr>
            <w:r>
              <w:rPr>
                <w:rFonts w:cs="Arial"/>
                <w:sz w:val="24"/>
                <w:szCs w:val="24"/>
              </w:rPr>
              <w:t>Budoucí využití</w:t>
            </w:r>
          </w:p>
        </w:tc>
        <w:tc>
          <w:tcPr>
            <w:tcW w:w="1134" w:type="dxa"/>
          </w:tcPr>
          <w:p w:rsidR="00C24E77" w:rsidRDefault="00C24E77" w:rsidP="001B2D33">
            <w:pPr>
              <w:jc w:val="both"/>
              <w:rPr>
                <w:rFonts w:cs="Arial"/>
                <w:sz w:val="24"/>
                <w:szCs w:val="24"/>
              </w:rPr>
            </w:pPr>
            <w:r>
              <w:rPr>
                <w:rFonts w:cs="Arial"/>
                <w:sz w:val="24"/>
                <w:szCs w:val="24"/>
              </w:rPr>
              <w:t>Celková cena</w:t>
            </w:r>
          </w:p>
          <w:p w:rsidR="00C24E77" w:rsidRDefault="00C24E77" w:rsidP="001B2D33">
            <w:pPr>
              <w:jc w:val="both"/>
              <w:rPr>
                <w:rFonts w:cs="Arial"/>
                <w:sz w:val="24"/>
                <w:szCs w:val="24"/>
              </w:rPr>
            </w:pPr>
            <w:r>
              <w:rPr>
                <w:rFonts w:cs="Arial"/>
                <w:sz w:val="24"/>
                <w:szCs w:val="24"/>
              </w:rPr>
              <w:t>Kč</w:t>
            </w:r>
          </w:p>
        </w:tc>
      </w:tr>
      <w:tr w:rsidR="00C24E77" w:rsidTr="001B2D33">
        <w:trPr>
          <w:trHeight w:val="340"/>
        </w:trPr>
        <w:tc>
          <w:tcPr>
            <w:tcW w:w="851" w:type="dxa"/>
          </w:tcPr>
          <w:p w:rsidR="00C24E77" w:rsidRDefault="00C24E77" w:rsidP="001B2D33">
            <w:pPr>
              <w:rPr>
                <w:rFonts w:cs="Arial"/>
                <w:sz w:val="24"/>
                <w:szCs w:val="24"/>
              </w:rPr>
            </w:pPr>
            <w:r>
              <w:rPr>
                <w:rFonts w:cs="Arial"/>
                <w:sz w:val="24"/>
                <w:szCs w:val="24"/>
              </w:rPr>
              <w:t>31372</w:t>
            </w:r>
          </w:p>
          <w:p w:rsidR="00C24E77" w:rsidRPr="00781637" w:rsidRDefault="00C24E77" w:rsidP="001B2D33">
            <w:pPr>
              <w:rPr>
                <w:rFonts w:cs="Arial"/>
                <w:sz w:val="16"/>
                <w:szCs w:val="16"/>
              </w:rPr>
            </w:pPr>
            <w:r w:rsidRPr="00781637">
              <w:rPr>
                <w:rFonts w:cs="Arial"/>
                <w:sz w:val="16"/>
                <w:szCs w:val="16"/>
              </w:rPr>
              <w:t xml:space="preserve">SK </w:t>
            </w:r>
          </w:p>
        </w:tc>
        <w:tc>
          <w:tcPr>
            <w:tcW w:w="1134" w:type="dxa"/>
          </w:tcPr>
          <w:p w:rsidR="00C24E77" w:rsidRDefault="00C24E77" w:rsidP="001B2D33">
            <w:pPr>
              <w:rPr>
                <w:rFonts w:cs="Arial"/>
                <w:sz w:val="24"/>
                <w:szCs w:val="24"/>
              </w:rPr>
            </w:pPr>
            <w:r>
              <w:rPr>
                <w:rFonts w:cs="Arial"/>
                <w:sz w:val="24"/>
                <w:szCs w:val="24"/>
              </w:rPr>
              <w:t>11796</w:t>
            </w:r>
          </w:p>
        </w:tc>
        <w:tc>
          <w:tcPr>
            <w:tcW w:w="992" w:type="dxa"/>
          </w:tcPr>
          <w:p w:rsidR="00C24E77" w:rsidRDefault="00C24E77" w:rsidP="001B2D33">
            <w:pPr>
              <w:rPr>
                <w:rFonts w:cs="Arial"/>
                <w:sz w:val="24"/>
                <w:szCs w:val="24"/>
              </w:rPr>
            </w:pPr>
            <w:r>
              <w:rPr>
                <w:rFonts w:cs="Arial"/>
                <w:sz w:val="24"/>
                <w:szCs w:val="24"/>
              </w:rPr>
              <w:t>350</w:t>
            </w:r>
          </w:p>
        </w:tc>
        <w:tc>
          <w:tcPr>
            <w:tcW w:w="1134" w:type="dxa"/>
          </w:tcPr>
          <w:p w:rsidR="00C24E77" w:rsidRPr="00BB43D3" w:rsidRDefault="00C24E77" w:rsidP="001B2D33">
            <w:pPr>
              <w:jc w:val="center"/>
              <w:rPr>
                <w:rFonts w:cs="Arial"/>
                <w:sz w:val="24"/>
                <w:szCs w:val="24"/>
              </w:rPr>
            </w:pPr>
            <w:r>
              <w:rPr>
                <w:rFonts w:cs="Arial"/>
                <w:sz w:val="24"/>
                <w:szCs w:val="24"/>
              </w:rPr>
              <w:t>350</w:t>
            </w:r>
          </w:p>
        </w:tc>
        <w:tc>
          <w:tcPr>
            <w:tcW w:w="851" w:type="dxa"/>
          </w:tcPr>
          <w:p w:rsidR="00C24E77" w:rsidRDefault="00C24E77" w:rsidP="001B2D33">
            <w:pPr>
              <w:rPr>
                <w:rFonts w:cs="Arial"/>
                <w:sz w:val="16"/>
                <w:szCs w:val="16"/>
              </w:rPr>
            </w:pPr>
            <w:r>
              <w:rPr>
                <w:rFonts w:cs="Arial"/>
                <w:sz w:val="16"/>
                <w:szCs w:val="16"/>
              </w:rPr>
              <w:t>800</w:t>
            </w:r>
          </w:p>
          <w:p w:rsidR="00C24E77" w:rsidRPr="00242171" w:rsidRDefault="00C24E77" w:rsidP="001B2D33">
            <w:pPr>
              <w:rPr>
                <w:rFonts w:cs="Arial"/>
                <w:sz w:val="16"/>
                <w:szCs w:val="16"/>
              </w:rPr>
            </w:pPr>
          </w:p>
        </w:tc>
        <w:tc>
          <w:tcPr>
            <w:tcW w:w="2126" w:type="dxa"/>
          </w:tcPr>
          <w:p w:rsidR="00C24E77" w:rsidRPr="002215A2" w:rsidRDefault="00C24E77" w:rsidP="001B2D33">
            <w:pPr>
              <w:rPr>
                <w:rFonts w:cs="Arial"/>
                <w:sz w:val="16"/>
                <w:szCs w:val="16"/>
              </w:rPr>
            </w:pPr>
          </w:p>
        </w:tc>
        <w:tc>
          <w:tcPr>
            <w:tcW w:w="851" w:type="dxa"/>
          </w:tcPr>
          <w:p w:rsidR="00C24E77" w:rsidRPr="002215A2" w:rsidRDefault="00C24E77" w:rsidP="001B2D33">
            <w:pPr>
              <w:rPr>
                <w:rFonts w:cs="Arial"/>
                <w:sz w:val="16"/>
                <w:szCs w:val="16"/>
              </w:rPr>
            </w:pPr>
          </w:p>
        </w:tc>
        <w:tc>
          <w:tcPr>
            <w:tcW w:w="1417" w:type="dxa"/>
          </w:tcPr>
          <w:p w:rsidR="00C24E77" w:rsidRDefault="00C24E77" w:rsidP="001B2D33">
            <w:pPr>
              <w:rPr>
                <w:rFonts w:cs="Arial"/>
                <w:sz w:val="24"/>
                <w:szCs w:val="24"/>
              </w:rPr>
            </w:pPr>
            <w:r>
              <w:rPr>
                <w:rFonts w:cs="Arial"/>
                <w:sz w:val="16"/>
                <w:szCs w:val="16"/>
              </w:rPr>
              <w:t>ul. Lipová</w:t>
            </w:r>
          </w:p>
        </w:tc>
        <w:tc>
          <w:tcPr>
            <w:tcW w:w="1134" w:type="dxa"/>
          </w:tcPr>
          <w:p w:rsidR="00C24E77" w:rsidRDefault="00C24E77" w:rsidP="001B2D33">
            <w:pPr>
              <w:rPr>
                <w:rFonts w:cs="Arial"/>
                <w:sz w:val="24"/>
                <w:szCs w:val="24"/>
              </w:rPr>
            </w:pPr>
            <w:r>
              <w:rPr>
                <w:rFonts w:cs="Arial"/>
                <w:sz w:val="24"/>
                <w:szCs w:val="24"/>
              </w:rPr>
              <w:t>280 000</w:t>
            </w:r>
          </w:p>
          <w:p w:rsidR="00C24E77" w:rsidRPr="005D376E" w:rsidRDefault="00C24E77" w:rsidP="001B2D33">
            <w:pPr>
              <w:rPr>
                <w:rFonts w:cs="Arial"/>
                <w:sz w:val="16"/>
                <w:szCs w:val="16"/>
              </w:rPr>
            </w:pPr>
            <w:r>
              <w:rPr>
                <w:rFonts w:cs="Arial"/>
                <w:sz w:val="16"/>
                <w:szCs w:val="16"/>
              </w:rPr>
              <w:t>338 800 vč. DPH</w:t>
            </w:r>
          </w:p>
        </w:tc>
      </w:tr>
      <w:tr w:rsidR="00C24E77" w:rsidTr="001B2D33">
        <w:trPr>
          <w:trHeight w:val="340"/>
        </w:trPr>
        <w:tc>
          <w:tcPr>
            <w:tcW w:w="851" w:type="dxa"/>
          </w:tcPr>
          <w:p w:rsidR="00C24E77" w:rsidRDefault="00C24E77" w:rsidP="001B2D33">
            <w:pPr>
              <w:rPr>
                <w:rFonts w:cs="Arial"/>
                <w:sz w:val="24"/>
                <w:szCs w:val="24"/>
              </w:rPr>
            </w:pPr>
          </w:p>
        </w:tc>
        <w:tc>
          <w:tcPr>
            <w:tcW w:w="1134" w:type="dxa"/>
          </w:tcPr>
          <w:p w:rsidR="00C24E77" w:rsidRDefault="00C24E77" w:rsidP="001B2D33">
            <w:pPr>
              <w:rPr>
                <w:rFonts w:cs="Arial"/>
                <w:sz w:val="24"/>
                <w:szCs w:val="24"/>
              </w:rPr>
            </w:pPr>
            <w:r>
              <w:rPr>
                <w:rFonts w:cs="Arial"/>
                <w:sz w:val="24"/>
                <w:szCs w:val="24"/>
              </w:rPr>
              <w:t>11779/1</w:t>
            </w:r>
          </w:p>
        </w:tc>
        <w:tc>
          <w:tcPr>
            <w:tcW w:w="992" w:type="dxa"/>
          </w:tcPr>
          <w:p w:rsidR="00C24E77" w:rsidRDefault="00C24E77" w:rsidP="001B2D33">
            <w:pPr>
              <w:rPr>
                <w:rFonts w:cs="Arial"/>
                <w:sz w:val="24"/>
                <w:szCs w:val="24"/>
              </w:rPr>
            </w:pPr>
            <w:r>
              <w:rPr>
                <w:rFonts w:cs="Arial"/>
                <w:sz w:val="24"/>
                <w:szCs w:val="24"/>
              </w:rPr>
              <w:t>3200</w:t>
            </w:r>
          </w:p>
        </w:tc>
        <w:tc>
          <w:tcPr>
            <w:tcW w:w="1134" w:type="dxa"/>
          </w:tcPr>
          <w:p w:rsidR="00C24E77" w:rsidRDefault="00C24E77" w:rsidP="001B2D33">
            <w:pPr>
              <w:jc w:val="center"/>
              <w:rPr>
                <w:rFonts w:cs="Arial"/>
                <w:sz w:val="24"/>
                <w:szCs w:val="24"/>
              </w:rPr>
            </w:pPr>
            <w:r>
              <w:rPr>
                <w:rFonts w:cs="Arial"/>
                <w:sz w:val="24"/>
                <w:szCs w:val="24"/>
              </w:rPr>
              <w:t>271</w:t>
            </w:r>
          </w:p>
        </w:tc>
        <w:tc>
          <w:tcPr>
            <w:tcW w:w="851" w:type="dxa"/>
          </w:tcPr>
          <w:p w:rsidR="00C24E77" w:rsidRPr="00F44E39" w:rsidRDefault="00C24E77" w:rsidP="001B2D33">
            <w:pPr>
              <w:rPr>
                <w:rFonts w:cs="Arial"/>
                <w:sz w:val="16"/>
                <w:szCs w:val="16"/>
              </w:rPr>
            </w:pPr>
            <w:r>
              <w:rPr>
                <w:rFonts w:cs="Arial"/>
                <w:sz w:val="16"/>
                <w:szCs w:val="16"/>
              </w:rPr>
              <w:t>800</w:t>
            </w:r>
          </w:p>
        </w:tc>
        <w:tc>
          <w:tcPr>
            <w:tcW w:w="2126" w:type="dxa"/>
          </w:tcPr>
          <w:p w:rsidR="00C24E77" w:rsidRPr="002A1522" w:rsidRDefault="00C24E77" w:rsidP="001B2D33">
            <w:pPr>
              <w:rPr>
                <w:rFonts w:cs="Arial"/>
                <w:sz w:val="16"/>
                <w:szCs w:val="16"/>
              </w:rPr>
            </w:pPr>
            <w:r w:rsidRPr="002A1522">
              <w:rPr>
                <w:rFonts w:cs="Arial"/>
                <w:sz w:val="16"/>
                <w:szCs w:val="16"/>
              </w:rPr>
              <w:t>Zděný plot, ocelová vrata</w:t>
            </w:r>
          </w:p>
        </w:tc>
        <w:tc>
          <w:tcPr>
            <w:tcW w:w="851" w:type="dxa"/>
          </w:tcPr>
          <w:p w:rsidR="00C24E77" w:rsidRPr="002A1522" w:rsidRDefault="00C24E77" w:rsidP="001B2D33">
            <w:pPr>
              <w:rPr>
                <w:rFonts w:cs="Arial"/>
                <w:sz w:val="16"/>
                <w:szCs w:val="16"/>
              </w:rPr>
            </w:pPr>
            <w:r>
              <w:rPr>
                <w:rFonts w:cs="Arial"/>
                <w:sz w:val="16"/>
                <w:szCs w:val="16"/>
              </w:rPr>
              <w:t>1 226</w:t>
            </w:r>
          </w:p>
        </w:tc>
        <w:tc>
          <w:tcPr>
            <w:tcW w:w="1417" w:type="dxa"/>
          </w:tcPr>
          <w:p w:rsidR="00C24E77" w:rsidRPr="00F44E39" w:rsidRDefault="00C24E77" w:rsidP="001B2D33">
            <w:pPr>
              <w:rPr>
                <w:rFonts w:cs="Arial"/>
                <w:sz w:val="16"/>
                <w:szCs w:val="16"/>
              </w:rPr>
            </w:pPr>
            <w:r>
              <w:rPr>
                <w:rFonts w:cs="Arial"/>
                <w:sz w:val="16"/>
                <w:szCs w:val="16"/>
              </w:rPr>
              <w:t>rozšíření vstupu do parku</w:t>
            </w:r>
          </w:p>
        </w:tc>
        <w:tc>
          <w:tcPr>
            <w:tcW w:w="1134" w:type="dxa"/>
          </w:tcPr>
          <w:p w:rsidR="00C24E77" w:rsidRDefault="00C24E77" w:rsidP="001B2D33">
            <w:pPr>
              <w:rPr>
                <w:rFonts w:cs="Arial"/>
                <w:sz w:val="24"/>
                <w:szCs w:val="24"/>
              </w:rPr>
            </w:pPr>
            <w:r>
              <w:rPr>
                <w:rFonts w:cs="Arial"/>
                <w:sz w:val="24"/>
                <w:szCs w:val="24"/>
              </w:rPr>
              <w:t>332 246</w:t>
            </w:r>
          </w:p>
          <w:p w:rsidR="00C24E77" w:rsidRPr="005D376E" w:rsidRDefault="00C24E77" w:rsidP="001B2D33">
            <w:pPr>
              <w:rPr>
                <w:rFonts w:cs="Arial"/>
                <w:sz w:val="16"/>
                <w:szCs w:val="16"/>
              </w:rPr>
            </w:pPr>
            <w:r w:rsidRPr="005D376E">
              <w:rPr>
                <w:rFonts w:cs="Arial"/>
                <w:sz w:val="16"/>
                <w:szCs w:val="16"/>
              </w:rPr>
              <w:t>402 018 vč. DPH</w:t>
            </w:r>
          </w:p>
        </w:tc>
      </w:tr>
      <w:tr w:rsidR="00C24E77" w:rsidTr="001B2D33">
        <w:trPr>
          <w:trHeight w:val="340"/>
        </w:trPr>
        <w:tc>
          <w:tcPr>
            <w:tcW w:w="851" w:type="dxa"/>
          </w:tcPr>
          <w:p w:rsidR="00C24E77" w:rsidRDefault="00C24E77" w:rsidP="001B2D33">
            <w:pPr>
              <w:rPr>
                <w:rFonts w:cs="Arial"/>
                <w:sz w:val="24"/>
                <w:szCs w:val="24"/>
              </w:rPr>
            </w:pPr>
          </w:p>
        </w:tc>
        <w:tc>
          <w:tcPr>
            <w:tcW w:w="1134" w:type="dxa"/>
          </w:tcPr>
          <w:p w:rsidR="00C24E77" w:rsidRDefault="00C24E77" w:rsidP="001B2D33">
            <w:pPr>
              <w:rPr>
                <w:rFonts w:cs="Arial"/>
                <w:sz w:val="24"/>
                <w:szCs w:val="24"/>
              </w:rPr>
            </w:pPr>
          </w:p>
        </w:tc>
        <w:tc>
          <w:tcPr>
            <w:tcW w:w="992" w:type="dxa"/>
          </w:tcPr>
          <w:p w:rsidR="00C24E77" w:rsidRDefault="00C24E77" w:rsidP="001B2D33">
            <w:pPr>
              <w:rPr>
                <w:rFonts w:cs="Arial"/>
                <w:sz w:val="24"/>
                <w:szCs w:val="24"/>
              </w:rPr>
            </w:pPr>
          </w:p>
        </w:tc>
        <w:tc>
          <w:tcPr>
            <w:tcW w:w="1134" w:type="dxa"/>
          </w:tcPr>
          <w:p w:rsidR="00C24E77" w:rsidRDefault="00C24E77" w:rsidP="001B2D33">
            <w:pPr>
              <w:rPr>
                <w:rFonts w:cs="Arial"/>
                <w:sz w:val="24"/>
                <w:szCs w:val="24"/>
              </w:rPr>
            </w:pPr>
          </w:p>
        </w:tc>
        <w:tc>
          <w:tcPr>
            <w:tcW w:w="851" w:type="dxa"/>
          </w:tcPr>
          <w:p w:rsidR="00C24E77" w:rsidRDefault="00C24E77" w:rsidP="001B2D33">
            <w:pPr>
              <w:rPr>
                <w:rFonts w:cs="Arial"/>
                <w:sz w:val="16"/>
                <w:szCs w:val="16"/>
              </w:rPr>
            </w:pPr>
          </w:p>
        </w:tc>
        <w:tc>
          <w:tcPr>
            <w:tcW w:w="2126" w:type="dxa"/>
          </w:tcPr>
          <w:p w:rsidR="00C24E77" w:rsidRPr="00781637" w:rsidRDefault="00C24E77" w:rsidP="001B2D33">
            <w:pPr>
              <w:rPr>
                <w:rFonts w:cs="Arial"/>
                <w:sz w:val="16"/>
                <w:szCs w:val="16"/>
              </w:rPr>
            </w:pPr>
            <w:r>
              <w:rPr>
                <w:rFonts w:cs="Arial"/>
                <w:sz w:val="16"/>
                <w:szCs w:val="16"/>
              </w:rPr>
              <w:t>Ocelový plot na části p.č. 11779/4, kt. zůstane MP</w:t>
            </w:r>
          </w:p>
        </w:tc>
        <w:tc>
          <w:tcPr>
            <w:tcW w:w="851" w:type="dxa"/>
          </w:tcPr>
          <w:p w:rsidR="00C24E77" w:rsidRPr="00781637" w:rsidRDefault="00C24E77" w:rsidP="001B2D33">
            <w:pPr>
              <w:rPr>
                <w:rFonts w:cs="Arial"/>
                <w:sz w:val="16"/>
                <w:szCs w:val="16"/>
              </w:rPr>
            </w:pPr>
          </w:p>
        </w:tc>
        <w:tc>
          <w:tcPr>
            <w:tcW w:w="1417" w:type="dxa"/>
          </w:tcPr>
          <w:p w:rsidR="00C24E77" w:rsidRDefault="00C24E77" w:rsidP="001B2D33">
            <w:pPr>
              <w:rPr>
                <w:rFonts w:cs="Arial"/>
                <w:sz w:val="16"/>
                <w:szCs w:val="16"/>
              </w:rPr>
            </w:pPr>
          </w:p>
        </w:tc>
        <w:tc>
          <w:tcPr>
            <w:tcW w:w="1134" w:type="dxa"/>
          </w:tcPr>
          <w:p w:rsidR="00C24E77" w:rsidRDefault="00C24E77" w:rsidP="001B2D33">
            <w:pPr>
              <w:rPr>
                <w:rFonts w:cs="Arial"/>
                <w:sz w:val="24"/>
                <w:szCs w:val="24"/>
              </w:rPr>
            </w:pPr>
            <w:r>
              <w:rPr>
                <w:rFonts w:cs="Arial"/>
                <w:sz w:val="24"/>
                <w:szCs w:val="24"/>
              </w:rPr>
              <w:t xml:space="preserve">  63 950</w:t>
            </w:r>
          </w:p>
        </w:tc>
      </w:tr>
      <w:tr w:rsidR="00C24E77" w:rsidTr="001B2D33">
        <w:trPr>
          <w:trHeight w:val="759"/>
        </w:trPr>
        <w:tc>
          <w:tcPr>
            <w:tcW w:w="9356" w:type="dxa"/>
            <w:gridSpan w:val="8"/>
          </w:tcPr>
          <w:p w:rsidR="00C24E77" w:rsidRPr="00372518" w:rsidRDefault="00C24E77" w:rsidP="001B2D33">
            <w:pPr>
              <w:rPr>
                <w:rFonts w:cs="Arial"/>
                <w:sz w:val="16"/>
                <w:szCs w:val="16"/>
              </w:rPr>
            </w:pPr>
            <w:r>
              <w:rPr>
                <w:rFonts w:cs="Arial"/>
                <w:sz w:val="16"/>
                <w:szCs w:val="16"/>
              </w:rPr>
              <w:lastRenderedPageBreak/>
              <w:t>Majetek SK SPORTCENTRUM ROUDNÁ z.s.     621 m</w:t>
            </w:r>
            <w:r>
              <w:rPr>
                <w:rFonts w:cs="Arial"/>
                <w:sz w:val="16"/>
                <w:szCs w:val="16"/>
                <w:vertAlign w:val="superscript"/>
              </w:rPr>
              <w:t>2</w:t>
            </w:r>
          </w:p>
        </w:tc>
        <w:tc>
          <w:tcPr>
            <w:tcW w:w="1134" w:type="dxa"/>
          </w:tcPr>
          <w:p w:rsidR="00C24E77" w:rsidRPr="00822B57" w:rsidRDefault="00C24E77" w:rsidP="001B2D33">
            <w:pPr>
              <w:rPr>
                <w:rFonts w:cs="Arial"/>
                <w:sz w:val="16"/>
                <w:szCs w:val="16"/>
              </w:rPr>
            </w:pPr>
            <w:r w:rsidRPr="00822B57">
              <w:rPr>
                <w:rFonts w:cs="Arial"/>
                <w:sz w:val="16"/>
                <w:szCs w:val="16"/>
              </w:rPr>
              <w:t>740 818 vč. DPH</w:t>
            </w:r>
            <w:r>
              <w:rPr>
                <w:rFonts w:cs="Arial"/>
                <w:sz w:val="16"/>
                <w:szCs w:val="16"/>
              </w:rPr>
              <w:t xml:space="preserve"> + 63 950 (plot) = </w:t>
            </w:r>
            <w:r w:rsidRPr="00822B57">
              <w:rPr>
                <w:rFonts w:cs="Arial"/>
                <w:b/>
                <w:sz w:val="16"/>
                <w:szCs w:val="16"/>
              </w:rPr>
              <w:t>804 768</w:t>
            </w:r>
          </w:p>
        </w:tc>
      </w:tr>
      <w:tr w:rsidR="00C24E77" w:rsidTr="001B2D33">
        <w:trPr>
          <w:trHeight w:val="340"/>
        </w:trPr>
        <w:tc>
          <w:tcPr>
            <w:tcW w:w="851" w:type="dxa"/>
          </w:tcPr>
          <w:p w:rsidR="00C24E77" w:rsidRDefault="00C24E77" w:rsidP="001B2D33">
            <w:pPr>
              <w:rPr>
                <w:rFonts w:cs="Arial"/>
                <w:sz w:val="24"/>
                <w:szCs w:val="24"/>
              </w:rPr>
            </w:pPr>
            <w:r>
              <w:rPr>
                <w:rFonts w:cs="Arial"/>
                <w:sz w:val="24"/>
                <w:szCs w:val="24"/>
              </w:rPr>
              <w:t>1 MP</w:t>
            </w:r>
          </w:p>
        </w:tc>
        <w:tc>
          <w:tcPr>
            <w:tcW w:w="1134" w:type="dxa"/>
          </w:tcPr>
          <w:p w:rsidR="00C24E77" w:rsidRDefault="00C24E77" w:rsidP="001B2D33">
            <w:pPr>
              <w:rPr>
                <w:rFonts w:cs="Arial"/>
                <w:sz w:val="24"/>
                <w:szCs w:val="24"/>
              </w:rPr>
            </w:pPr>
            <w:r>
              <w:rPr>
                <w:rFonts w:cs="Arial"/>
                <w:sz w:val="24"/>
                <w:szCs w:val="24"/>
              </w:rPr>
              <w:t>11779/4</w:t>
            </w:r>
          </w:p>
        </w:tc>
        <w:tc>
          <w:tcPr>
            <w:tcW w:w="992" w:type="dxa"/>
          </w:tcPr>
          <w:p w:rsidR="00C24E77" w:rsidRDefault="00C24E77" w:rsidP="001B2D33">
            <w:pPr>
              <w:rPr>
                <w:rFonts w:cs="Arial"/>
                <w:sz w:val="24"/>
                <w:szCs w:val="24"/>
              </w:rPr>
            </w:pPr>
            <w:r>
              <w:rPr>
                <w:rFonts w:cs="Arial"/>
                <w:sz w:val="24"/>
                <w:szCs w:val="24"/>
              </w:rPr>
              <w:t>1314</w:t>
            </w:r>
          </w:p>
        </w:tc>
        <w:tc>
          <w:tcPr>
            <w:tcW w:w="1134" w:type="dxa"/>
          </w:tcPr>
          <w:p w:rsidR="00C24E77" w:rsidRDefault="00C24E77" w:rsidP="001B2D33">
            <w:pPr>
              <w:rPr>
                <w:rFonts w:cs="Arial"/>
                <w:sz w:val="24"/>
                <w:szCs w:val="24"/>
              </w:rPr>
            </w:pPr>
            <w:r>
              <w:rPr>
                <w:rFonts w:cs="Arial"/>
                <w:sz w:val="24"/>
                <w:szCs w:val="24"/>
              </w:rPr>
              <w:t xml:space="preserve">    172</w:t>
            </w:r>
          </w:p>
        </w:tc>
        <w:tc>
          <w:tcPr>
            <w:tcW w:w="851" w:type="dxa"/>
          </w:tcPr>
          <w:p w:rsidR="00C24E77" w:rsidRPr="00781637" w:rsidRDefault="00C24E77" w:rsidP="001B2D33">
            <w:pPr>
              <w:rPr>
                <w:rFonts w:cs="Arial"/>
                <w:sz w:val="16"/>
                <w:szCs w:val="16"/>
              </w:rPr>
            </w:pPr>
            <w:r>
              <w:rPr>
                <w:rFonts w:cs="Arial"/>
                <w:sz w:val="16"/>
                <w:szCs w:val="16"/>
              </w:rPr>
              <w:t>1558</w:t>
            </w:r>
          </w:p>
        </w:tc>
        <w:tc>
          <w:tcPr>
            <w:tcW w:w="2126" w:type="dxa"/>
          </w:tcPr>
          <w:p w:rsidR="00C24E77" w:rsidRPr="00781637" w:rsidRDefault="00C24E77" w:rsidP="001B2D33">
            <w:pPr>
              <w:rPr>
                <w:rFonts w:cs="Arial"/>
                <w:sz w:val="16"/>
                <w:szCs w:val="16"/>
              </w:rPr>
            </w:pPr>
          </w:p>
        </w:tc>
        <w:tc>
          <w:tcPr>
            <w:tcW w:w="851" w:type="dxa"/>
          </w:tcPr>
          <w:p w:rsidR="00C24E77" w:rsidRPr="00781637" w:rsidRDefault="00C24E77" w:rsidP="001B2D33">
            <w:pPr>
              <w:rPr>
                <w:rFonts w:cs="Arial"/>
                <w:sz w:val="16"/>
                <w:szCs w:val="16"/>
              </w:rPr>
            </w:pPr>
          </w:p>
        </w:tc>
        <w:tc>
          <w:tcPr>
            <w:tcW w:w="1417" w:type="dxa"/>
          </w:tcPr>
          <w:p w:rsidR="00C24E77" w:rsidRPr="00781637" w:rsidRDefault="00C24E77" w:rsidP="001B2D33">
            <w:pPr>
              <w:rPr>
                <w:rFonts w:cs="Arial"/>
                <w:sz w:val="16"/>
                <w:szCs w:val="16"/>
              </w:rPr>
            </w:pPr>
            <w:r>
              <w:rPr>
                <w:rFonts w:cs="Arial"/>
                <w:sz w:val="16"/>
                <w:szCs w:val="16"/>
              </w:rPr>
              <w:t xml:space="preserve">předmět výpůjčky </w:t>
            </w:r>
          </w:p>
        </w:tc>
        <w:tc>
          <w:tcPr>
            <w:tcW w:w="1134" w:type="dxa"/>
          </w:tcPr>
          <w:p w:rsidR="00C24E77" w:rsidRDefault="00C24E77" w:rsidP="001B2D33">
            <w:pPr>
              <w:rPr>
                <w:rFonts w:cs="Arial"/>
                <w:sz w:val="24"/>
                <w:szCs w:val="24"/>
              </w:rPr>
            </w:pPr>
            <w:r>
              <w:rPr>
                <w:rFonts w:cs="Arial"/>
                <w:sz w:val="24"/>
                <w:szCs w:val="24"/>
              </w:rPr>
              <w:t>267 976</w:t>
            </w:r>
          </w:p>
          <w:p w:rsidR="00C24E77" w:rsidRPr="00822B57" w:rsidRDefault="00C24E77" w:rsidP="001B2D33">
            <w:pPr>
              <w:rPr>
                <w:rFonts w:cs="Arial"/>
                <w:sz w:val="16"/>
                <w:szCs w:val="16"/>
              </w:rPr>
            </w:pPr>
            <w:r w:rsidRPr="00822B57">
              <w:rPr>
                <w:rFonts w:cs="Arial"/>
                <w:b/>
                <w:sz w:val="16"/>
                <w:szCs w:val="16"/>
              </w:rPr>
              <w:t>324 251</w:t>
            </w:r>
            <w:r w:rsidRPr="00822B57">
              <w:rPr>
                <w:rFonts w:cs="Arial"/>
                <w:sz w:val="16"/>
                <w:szCs w:val="16"/>
              </w:rPr>
              <w:t xml:space="preserve"> </w:t>
            </w:r>
            <w:r w:rsidRPr="00E1770D">
              <w:rPr>
                <w:rFonts w:cs="Arial"/>
                <w:b/>
                <w:sz w:val="16"/>
                <w:szCs w:val="16"/>
              </w:rPr>
              <w:t>vč. DPH</w:t>
            </w:r>
          </w:p>
        </w:tc>
      </w:tr>
      <w:tr w:rsidR="00C24E77" w:rsidTr="001B2D33">
        <w:trPr>
          <w:trHeight w:val="340"/>
        </w:trPr>
        <w:tc>
          <w:tcPr>
            <w:tcW w:w="9356" w:type="dxa"/>
            <w:gridSpan w:val="8"/>
          </w:tcPr>
          <w:p w:rsidR="00C24E77" w:rsidRPr="005B03BA" w:rsidRDefault="00C24E77" w:rsidP="001B2D33">
            <w:pPr>
              <w:rPr>
                <w:rFonts w:cs="Arial"/>
                <w:sz w:val="24"/>
                <w:szCs w:val="24"/>
              </w:rPr>
            </w:pPr>
            <w:r w:rsidRPr="005B03BA">
              <w:rPr>
                <w:rFonts w:cs="Arial"/>
                <w:sz w:val="24"/>
                <w:szCs w:val="24"/>
              </w:rPr>
              <w:t>pozemek p. č. 11779/4  při výměře 1260 m</w:t>
            </w:r>
            <w:r w:rsidRPr="005B03BA">
              <w:rPr>
                <w:rFonts w:cs="Arial"/>
                <w:sz w:val="24"/>
                <w:szCs w:val="24"/>
                <w:vertAlign w:val="superscript"/>
              </w:rPr>
              <w:t>2</w:t>
            </w:r>
            <w:r w:rsidRPr="005B03BA">
              <w:rPr>
                <w:rFonts w:cs="Arial"/>
                <w:sz w:val="24"/>
                <w:szCs w:val="24"/>
              </w:rPr>
              <w:t xml:space="preserve"> činí</w:t>
            </w:r>
          </w:p>
        </w:tc>
        <w:tc>
          <w:tcPr>
            <w:tcW w:w="1134" w:type="dxa"/>
          </w:tcPr>
          <w:p w:rsidR="00C24E77" w:rsidRDefault="00C24E77" w:rsidP="001B2D33">
            <w:pPr>
              <w:rPr>
                <w:rFonts w:cs="Arial"/>
                <w:szCs w:val="22"/>
              </w:rPr>
            </w:pPr>
            <w:r>
              <w:rPr>
                <w:rFonts w:cs="Arial"/>
                <w:szCs w:val="22"/>
              </w:rPr>
              <w:t>1 963 080</w:t>
            </w:r>
          </w:p>
          <w:p w:rsidR="00C24E77" w:rsidRPr="00372518" w:rsidRDefault="00C24E77" w:rsidP="001B2D33">
            <w:pPr>
              <w:rPr>
                <w:rFonts w:cs="Arial"/>
                <w:b/>
                <w:sz w:val="16"/>
                <w:szCs w:val="16"/>
              </w:rPr>
            </w:pPr>
            <w:r w:rsidRPr="00372518">
              <w:rPr>
                <w:rFonts w:cs="Arial"/>
                <w:b/>
                <w:sz w:val="16"/>
                <w:szCs w:val="16"/>
              </w:rPr>
              <w:t>2</w:t>
            </w:r>
            <w:r>
              <w:rPr>
                <w:rFonts w:cs="Arial"/>
                <w:b/>
                <w:sz w:val="16"/>
                <w:szCs w:val="16"/>
              </w:rPr>
              <w:t> 375 327</w:t>
            </w:r>
            <w:r w:rsidRPr="00372518">
              <w:rPr>
                <w:rFonts w:cs="Arial"/>
                <w:b/>
                <w:sz w:val="16"/>
                <w:szCs w:val="16"/>
              </w:rPr>
              <w:t xml:space="preserve"> vč. DPH</w:t>
            </w:r>
          </w:p>
        </w:tc>
      </w:tr>
    </w:tbl>
    <w:p w:rsidR="00C24E77" w:rsidRDefault="00C24E77" w:rsidP="00C24E77">
      <w:pPr>
        <w:jc w:val="both"/>
        <w:rPr>
          <w:sz w:val="24"/>
          <w:szCs w:val="24"/>
        </w:rPr>
      </w:pPr>
    </w:p>
    <w:p w:rsidR="00C24E77" w:rsidRPr="00B12D95" w:rsidRDefault="00C24E77" w:rsidP="00C24E77">
      <w:pPr>
        <w:jc w:val="both"/>
        <w:rPr>
          <w:sz w:val="24"/>
          <w:szCs w:val="24"/>
        </w:rPr>
      </w:pPr>
      <w:r>
        <w:rPr>
          <w:sz w:val="24"/>
          <w:szCs w:val="24"/>
        </w:rPr>
        <w:t>Hodnota majetku ve vlastnictví SK činí 804 768 Kč včetně DPH, po upřesnění výměr GP (610 m</w:t>
      </w:r>
      <w:r>
        <w:rPr>
          <w:sz w:val="24"/>
          <w:szCs w:val="24"/>
          <w:vertAlign w:val="superscript"/>
        </w:rPr>
        <w:t>2</w:t>
      </w:r>
      <w:r>
        <w:rPr>
          <w:sz w:val="24"/>
          <w:szCs w:val="24"/>
        </w:rPr>
        <w:t>) činí hodnota majetku SK 788 450 Kč včetně venkovních a stavebních úprav.</w:t>
      </w:r>
    </w:p>
    <w:p w:rsidR="00C24E77" w:rsidRPr="00DF7B70" w:rsidRDefault="00C24E77" w:rsidP="00C24E77">
      <w:pPr>
        <w:jc w:val="both"/>
        <w:rPr>
          <w:sz w:val="24"/>
          <w:szCs w:val="24"/>
        </w:rPr>
      </w:pPr>
      <w:r>
        <w:rPr>
          <w:sz w:val="24"/>
          <w:szCs w:val="24"/>
        </w:rPr>
        <w:t>Hodnota majetku ve vlastnictví města Plzně činí 2 375 327 včetně DPH, po upřesnění výměr GP (1259 m</w:t>
      </w:r>
      <w:r>
        <w:rPr>
          <w:sz w:val="24"/>
          <w:szCs w:val="24"/>
          <w:vertAlign w:val="superscript"/>
        </w:rPr>
        <w:t>2</w:t>
      </w:r>
      <w:r>
        <w:rPr>
          <w:sz w:val="24"/>
          <w:szCs w:val="24"/>
        </w:rPr>
        <w:t>) činí hodnota majetku MP částku 2 373 442 Kč včetně DPH.</w:t>
      </w:r>
    </w:p>
    <w:p w:rsidR="00C24E77" w:rsidRDefault="00C24E77" w:rsidP="00C24E77">
      <w:pPr>
        <w:jc w:val="both"/>
        <w:rPr>
          <w:sz w:val="24"/>
          <w:szCs w:val="24"/>
        </w:rPr>
      </w:pPr>
    </w:p>
    <w:p w:rsidR="00C24E77" w:rsidRDefault="00C24E77" w:rsidP="00C24E77">
      <w:pPr>
        <w:jc w:val="both"/>
        <w:rPr>
          <w:sz w:val="24"/>
          <w:szCs w:val="24"/>
        </w:rPr>
      </w:pPr>
      <w:r>
        <w:rPr>
          <w:sz w:val="24"/>
          <w:szCs w:val="24"/>
        </w:rPr>
        <w:t>V případě realizace vzájemných darů získá město Plzeň od obou subjektů majetek v hodnotě cca 1 482 980 Kč, po upřesnění výměr GP v hodnotě 1 472 468 Kč.</w:t>
      </w:r>
    </w:p>
    <w:p w:rsidR="00C24E77" w:rsidRDefault="00C24E77" w:rsidP="00C24E77">
      <w:pPr>
        <w:jc w:val="both"/>
        <w:rPr>
          <w:sz w:val="24"/>
          <w:szCs w:val="24"/>
        </w:rPr>
      </w:pPr>
      <w:r>
        <w:rPr>
          <w:sz w:val="24"/>
          <w:szCs w:val="24"/>
        </w:rPr>
        <w:t>SK získá od města Plzně majetek v hodnotě cca 2 934 100 Kč, po upřesnění výměr GP  v hodnotě 2 932 215 Kč.</w:t>
      </w:r>
    </w:p>
    <w:p w:rsidR="00C24E77" w:rsidRDefault="00C24E77" w:rsidP="00C24E77">
      <w:pPr>
        <w:jc w:val="both"/>
        <w:rPr>
          <w:sz w:val="24"/>
          <w:szCs w:val="24"/>
        </w:rPr>
      </w:pPr>
      <w:r>
        <w:rPr>
          <w:sz w:val="24"/>
          <w:szCs w:val="24"/>
        </w:rPr>
        <w:t>Materiál byl posouzen z pohledu DPH a dodání pozemků ve vlastnictví města Plzně bude podléhat DPH ve smyslu § 56 zákona č. 235/2004 Sb., ve znění pozdějších předpisů.</w:t>
      </w:r>
    </w:p>
    <w:p w:rsidR="00C24E77" w:rsidRDefault="00C24E77" w:rsidP="00C24E77">
      <w:pPr>
        <w:jc w:val="both"/>
        <w:rPr>
          <w:sz w:val="24"/>
          <w:szCs w:val="24"/>
        </w:rPr>
      </w:pPr>
      <w:r>
        <w:rPr>
          <w:sz w:val="24"/>
          <w:szCs w:val="24"/>
        </w:rPr>
        <w:t>SK SPORCETRUM ROUDNÁ z.s. je plátcem DPH a dodání pozemků ve vlastnictví SK bude podléhat DPH ve smyslu § 56 zákona č. 235/2004 Sb., ve znění pozdějších předpisů.</w:t>
      </w:r>
    </w:p>
    <w:p w:rsidR="00C24E77" w:rsidRDefault="00C24E77" w:rsidP="00C24E77">
      <w:pPr>
        <w:jc w:val="both"/>
        <w:rPr>
          <w:sz w:val="24"/>
          <w:szCs w:val="24"/>
        </w:rPr>
      </w:pPr>
    </w:p>
    <w:p w:rsidR="00C24E77" w:rsidRPr="00F367F7" w:rsidRDefault="00C24E77" w:rsidP="00C24E77">
      <w:pPr>
        <w:jc w:val="both"/>
        <w:rPr>
          <w:rFonts w:ascii="Arial" w:hAnsi="Arial" w:cs="Arial"/>
          <w:sz w:val="24"/>
          <w:szCs w:val="24"/>
        </w:rPr>
      </w:pPr>
      <w:r w:rsidRPr="00F367F7">
        <w:rPr>
          <w:sz w:val="24"/>
          <w:szCs w:val="24"/>
        </w:rPr>
        <w:t>Městské pozemky parc.č. 11779/4 a parc. č. 11793/1, k. ú. Plzeň nabylo město Plzeň na základě zákona č. 172/1991 Sb. Nabývací titul k městským pozemkům je založen na EVID.</w:t>
      </w:r>
    </w:p>
    <w:p w:rsidR="00C24E77" w:rsidRDefault="00C24E77" w:rsidP="00C24E77">
      <w:pPr>
        <w:tabs>
          <w:tab w:val="left" w:pos="6946"/>
        </w:tabs>
        <w:ind w:left="142" w:hanging="142"/>
        <w:jc w:val="both"/>
        <w:rPr>
          <w:sz w:val="24"/>
          <w:szCs w:val="24"/>
        </w:rPr>
      </w:pPr>
      <w:r>
        <w:rPr>
          <w:sz w:val="24"/>
          <w:szCs w:val="24"/>
        </w:rPr>
        <w:t>Dle Územního plánu města Plzně se jedná o pozemky s funkcí plochy smíšené obytné.</w:t>
      </w:r>
    </w:p>
    <w:p w:rsidR="00C24E77" w:rsidRPr="00FA018A" w:rsidRDefault="00C24E77" w:rsidP="00C24E77">
      <w:pPr>
        <w:tabs>
          <w:tab w:val="left" w:pos="6946"/>
        </w:tabs>
        <w:jc w:val="both"/>
        <w:rPr>
          <w:sz w:val="24"/>
          <w:szCs w:val="24"/>
        </w:rPr>
      </w:pPr>
      <w:r>
        <w:rPr>
          <w:sz w:val="24"/>
          <w:szCs w:val="24"/>
        </w:rPr>
        <w:t xml:space="preserve">Stanovisko TÚ MMP, resp. ORP, pod č.j. MMP/134929/17 ze dne 2. 1. 2018, kterým bylo aktualizováno stanovisko pod č.j. MMP/47424/16 ze dne 4. 11. 2016 z důvodu rozšíření směny, je ke směně souhlasné – </w:t>
      </w:r>
      <w:r w:rsidRPr="00F75C61">
        <w:rPr>
          <w:sz w:val="24"/>
          <w:szCs w:val="24"/>
        </w:rPr>
        <w:t>viz příloha č. 2/1 – 2/4.</w:t>
      </w:r>
      <w:r>
        <w:rPr>
          <w:sz w:val="24"/>
          <w:szCs w:val="24"/>
        </w:rPr>
        <w:t xml:space="preserve"> TÚ ve svém stanovisku uvádějí:</w:t>
      </w:r>
    </w:p>
    <w:p w:rsidR="00C24E77" w:rsidRDefault="00C24E77" w:rsidP="00C24E77">
      <w:pPr>
        <w:tabs>
          <w:tab w:val="left" w:pos="6946"/>
        </w:tabs>
        <w:jc w:val="both"/>
        <w:rPr>
          <w:sz w:val="24"/>
          <w:szCs w:val="24"/>
        </w:rPr>
      </w:pPr>
      <w:r w:rsidRPr="00F367F7">
        <w:rPr>
          <w:sz w:val="24"/>
          <w:szCs w:val="24"/>
        </w:rPr>
        <w:t>Jedná se o směnu pozemků mezi městem Plzní a spolky TJ Prazdroj Plzeň z. s. a SK SPORTCENTRUM ROUDNÁ z. s. dle územní studie „Karlovarská“ (ÚKRMP, 09/2015) schválené usnesením RMP č. 174 ze dne 2. 3. 2017. Všechny pozemky jsou dle Územního plánu Plzeň součástí ploch smíšených obytných, konkrétně lokality 1_7 Karlovarská. Pozemky v majetku  TJ Prazdroj Plzeň z. s., p. č. 12062/1 a 11794/1 k. ú. Plzeň v ulici Pod Všemi svatými jsou potřeba pro rekonstrukci chodníku, část poz. 11794/1 k. ú. Plzeň leží v budoucím koridoru ul. Lipová.</w:t>
      </w:r>
    </w:p>
    <w:p w:rsidR="00C24E77" w:rsidRDefault="00C24E77" w:rsidP="00C24E77">
      <w:pPr>
        <w:tabs>
          <w:tab w:val="left" w:pos="6946"/>
        </w:tabs>
        <w:jc w:val="both"/>
        <w:rPr>
          <w:sz w:val="24"/>
          <w:szCs w:val="24"/>
        </w:rPr>
      </w:pPr>
      <w:r w:rsidRPr="00F367F7">
        <w:rPr>
          <w:sz w:val="24"/>
          <w:szCs w:val="24"/>
        </w:rPr>
        <w:t xml:space="preserve">Pozemky v majetku  SK SPORTCENTRUM ROUDNÁ z. s. p. č. 11796 k. ú. Plzeň leží v budoucím koridoru ul. Lipová a část p. č. 11779/1 k. ú. Plzeň je pro rozšíření vstupu do parku. </w:t>
      </w:r>
    </w:p>
    <w:p w:rsidR="00C24E77" w:rsidRDefault="00C24E77" w:rsidP="00C24E77">
      <w:pPr>
        <w:tabs>
          <w:tab w:val="left" w:pos="6946"/>
        </w:tabs>
        <w:jc w:val="both"/>
        <w:rPr>
          <w:sz w:val="24"/>
          <w:szCs w:val="24"/>
        </w:rPr>
      </w:pPr>
      <w:r w:rsidRPr="00F367F7">
        <w:rPr>
          <w:sz w:val="24"/>
          <w:szCs w:val="24"/>
        </w:rPr>
        <w:t>Ze strany města by měla vstoupit do směny část městského pozemku p. č. 11793/1 (západně od stávajícího sportovního areálu) a část p. č. 11779/4 v k. ú. Plzeň, kterou má nyní spolek ve výpůjčce.</w:t>
      </w:r>
    </w:p>
    <w:p w:rsidR="00C24E77" w:rsidRPr="00F367F7" w:rsidRDefault="00C24E77" w:rsidP="00C24E77">
      <w:pPr>
        <w:tabs>
          <w:tab w:val="left" w:pos="6946"/>
        </w:tabs>
        <w:jc w:val="both"/>
        <w:rPr>
          <w:sz w:val="24"/>
          <w:szCs w:val="24"/>
        </w:rPr>
      </w:pPr>
      <w:r w:rsidRPr="00F367F7">
        <w:rPr>
          <w:sz w:val="24"/>
          <w:szCs w:val="24"/>
        </w:rPr>
        <w:t>Zájmové území je dotčeno následující vodohospodářskou infrastrukturou v majetku VODÁRNY PLZEŇ a.s., která byla uvedena do provozu před více než 5 lety:</w:t>
      </w:r>
    </w:p>
    <w:p w:rsidR="00C24E77" w:rsidRPr="00F367F7" w:rsidRDefault="00C24E77" w:rsidP="00C24E77">
      <w:pPr>
        <w:pStyle w:val="Odstavecseseznamem"/>
        <w:tabs>
          <w:tab w:val="left" w:pos="0"/>
        </w:tabs>
        <w:ind w:left="0"/>
        <w:jc w:val="both"/>
        <w:rPr>
          <w:sz w:val="24"/>
          <w:szCs w:val="24"/>
        </w:rPr>
      </w:pPr>
      <w:r w:rsidRPr="00F367F7">
        <w:rPr>
          <w:sz w:val="24"/>
          <w:szCs w:val="24"/>
        </w:rPr>
        <w:t xml:space="preserve">Předmětná část pozemku p. č. 11779/4 v k. ú. Plzeň není dotčena kanalizační stokou DN 500 ani jejím ochranným pásmem, která se na pozemku nachází. Ke kanalizační přípojce, která se na předmětné části pozemku nachází, sdělí bližší informace správce městské nemovitosti. </w:t>
      </w:r>
    </w:p>
    <w:p w:rsidR="00C24E77" w:rsidRPr="00F367F7" w:rsidRDefault="00C24E77" w:rsidP="00C24E77">
      <w:pPr>
        <w:pStyle w:val="Odstavecseseznamem"/>
        <w:tabs>
          <w:tab w:val="left" w:pos="0"/>
        </w:tabs>
        <w:ind w:left="0"/>
        <w:jc w:val="both"/>
        <w:rPr>
          <w:sz w:val="24"/>
          <w:szCs w:val="24"/>
        </w:rPr>
      </w:pPr>
      <w:r w:rsidRPr="00F367F7">
        <w:rPr>
          <w:sz w:val="24"/>
          <w:szCs w:val="24"/>
        </w:rPr>
        <w:t xml:space="preserve">Předmětná část pozemku p. č. 12062/1 v k. ú. Plzeň vodohospodářskou infrastrukturou v majetku města Plzně ve správě OSI MMP dotčena není. </w:t>
      </w:r>
    </w:p>
    <w:p w:rsidR="00C24E77" w:rsidRPr="00F367F7" w:rsidRDefault="00C24E77" w:rsidP="00C24E77">
      <w:pPr>
        <w:pStyle w:val="Odstavecseseznamem"/>
        <w:tabs>
          <w:tab w:val="left" w:pos="0"/>
        </w:tabs>
        <w:ind w:left="0"/>
        <w:jc w:val="both"/>
        <w:rPr>
          <w:sz w:val="24"/>
          <w:szCs w:val="24"/>
        </w:rPr>
      </w:pPr>
      <w:r w:rsidRPr="00F367F7">
        <w:rPr>
          <w:sz w:val="24"/>
          <w:szCs w:val="24"/>
        </w:rPr>
        <w:t>Předmětná část pozemku p. č. 11779/1 v k. ú. Plzeň kanalizační stokou DN 500 a jejím ochranným pásmem.</w:t>
      </w:r>
    </w:p>
    <w:p w:rsidR="00C24E77" w:rsidRPr="00F367F7" w:rsidRDefault="00C24E77" w:rsidP="00C24E77">
      <w:pPr>
        <w:pStyle w:val="Odstavecseseznamem"/>
        <w:tabs>
          <w:tab w:val="left" w:pos="0"/>
        </w:tabs>
        <w:ind w:left="0"/>
        <w:jc w:val="both"/>
        <w:rPr>
          <w:sz w:val="24"/>
          <w:szCs w:val="24"/>
        </w:rPr>
      </w:pPr>
      <w:r w:rsidRPr="00F367F7">
        <w:rPr>
          <w:sz w:val="24"/>
          <w:szCs w:val="24"/>
        </w:rPr>
        <w:lastRenderedPageBreak/>
        <w:t>Předmětná část pozemku p. č. 11793/1 v k. ú. Plzeň není dotčena vodohospodářskou infrastrukturou v majetku města Plzně. Na pozemku se nachází vodovodní přípojka. Bližší informace k vodovodní přípojce sdělí příslušný správce nemovitosti.</w:t>
      </w:r>
    </w:p>
    <w:p w:rsidR="00C24E77" w:rsidRPr="00F367F7" w:rsidRDefault="00C24E77" w:rsidP="00C24E77">
      <w:pPr>
        <w:pStyle w:val="Odstavecseseznamem"/>
        <w:tabs>
          <w:tab w:val="left" w:pos="0"/>
        </w:tabs>
        <w:ind w:left="0"/>
        <w:jc w:val="both"/>
        <w:rPr>
          <w:sz w:val="24"/>
          <w:szCs w:val="24"/>
        </w:rPr>
      </w:pPr>
      <w:r w:rsidRPr="00F367F7">
        <w:rPr>
          <w:sz w:val="24"/>
          <w:szCs w:val="24"/>
        </w:rPr>
        <w:t xml:space="preserve">Pozemek p. č. 11796 v k. ú. Plzeň kanalizační stokou DN 600, vodovodním řadem DN 80, kanalizační stokou DN 1150/620 včetně jejich ochranného pásma. </w:t>
      </w:r>
    </w:p>
    <w:p w:rsidR="00C24E77" w:rsidRPr="00F367F7" w:rsidRDefault="00C24E77" w:rsidP="00C24E77">
      <w:pPr>
        <w:pStyle w:val="Odstavecseseznamem"/>
        <w:tabs>
          <w:tab w:val="left" w:pos="0"/>
        </w:tabs>
        <w:ind w:left="0"/>
        <w:jc w:val="both"/>
        <w:rPr>
          <w:sz w:val="24"/>
          <w:szCs w:val="24"/>
        </w:rPr>
      </w:pPr>
      <w:r w:rsidRPr="00F367F7">
        <w:rPr>
          <w:sz w:val="24"/>
          <w:szCs w:val="24"/>
        </w:rPr>
        <w:t xml:space="preserve">Předmětná část pozemku p. č. 11794/1 v k. ú. Plzeň kanalizační stokou DN 1150/620 a kanalizační stokou DN 600. </w:t>
      </w:r>
    </w:p>
    <w:p w:rsidR="00C24E77" w:rsidRDefault="00C24E77" w:rsidP="00C24E77">
      <w:pPr>
        <w:tabs>
          <w:tab w:val="left" w:pos="0"/>
        </w:tabs>
        <w:jc w:val="both"/>
        <w:rPr>
          <w:color w:val="31849B" w:themeColor="accent5" w:themeShade="BF"/>
          <w:sz w:val="24"/>
          <w:szCs w:val="24"/>
        </w:rPr>
      </w:pPr>
      <w:r w:rsidRPr="00F367F7">
        <w:rPr>
          <w:sz w:val="24"/>
          <w:szCs w:val="24"/>
        </w:rPr>
        <w:t xml:space="preserve">Pan Jan Kapr, jednatel TJ Prazdroj Plzeň, o. s., zastupuje i občanské sdružení SK SPORTCENTRUM ROUDNÁ. S tímto subjektem byla uzavřena smlouva o výpůjčce na část pozemku p. č. 11779/4 v k. ú. Plzeň. SK SPORTCENTRUM ROUDNÁ z.s. realizovala vyvolanou investici přeložky kanalizační stoky DN 500 v majetku VODÁRNY PLZEŇ a.s. na pozemku p. č. 11779/1 v k. ú. Plzeň, který je rovněž součástí sportovního areálu, ve kterém oba subjekty společně působí. Dosud však neuzavřela smlouvu o zřízení služebnosti za účelem umístění a provozování kanalizační sítě, přístupu a příjezdu ke kanalizaci v majetku VODÁRNY PLZEŇ a.s. na pozemku p. č. 11779/1 v k. ú. Plzeň ve vlastnictví SK SPORTCENTRUM ROUDNÁ z.s. K tomuto kroku se v rámci předání stavby a čestným prohlášením ze dne 25. 4. 2008 zavázala. </w:t>
      </w:r>
    </w:p>
    <w:p w:rsidR="00C24E77" w:rsidRDefault="00C24E77" w:rsidP="00C24E77">
      <w:pPr>
        <w:tabs>
          <w:tab w:val="left" w:pos="0"/>
        </w:tabs>
        <w:jc w:val="both"/>
        <w:rPr>
          <w:color w:val="31849B" w:themeColor="accent5" w:themeShade="BF"/>
          <w:sz w:val="24"/>
          <w:szCs w:val="24"/>
        </w:rPr>
      </w:pPr>
      <w:r w:rsidRPr="00F367F7">
        <w:rPr>
          <w:sz w:val="24"/>
          <w:szCs w:val="24"/>
        </w:rPr>
        <w:t xml:space="preserve">Vzhledem k tomu, že předmětná kanalizační stoka leží uvnitř sportovního areálu, je uzavření smlouvy o zřízení služebnosti v tomto případě nutné i s ohledem na skutečnost, že kanalizace není pro správce a provozovatele přístupná. S panem Janem Kaprem, zástupcem SK SPORCENTURM ROUDNÁ, byla ze strany ORP MMP vedena opakovaná jednání ve věci uzavření smlouvy o zřízení služebnosti, vždy však neúspěšná. </w:t>
      </w:r>
    </w:p>
    <w:p w:rsidR="00C24E77" w:rsidRPr="00F367F7" w:rsidRDefault="00C24E77" w:rsidP="00C24E77">
      <w:pPr>
        <w:tabs>
          <w:tab w:val="left" w:pos="0"/>
        </w:tabs>
        <w:jc w:val="both"/>
        <w:rPr>
          <w:color w:val="31849B" w:themeColor="accent5" w:themeShade="BF"/>
          <w:sz w:val="24"/>
          <w:szCs w:val="24"/>
        </w:rPr>
      </w:pPr>
      <w:r w:rsidRPr="00F367F7">
        <w:rPr>
          <w:sz w:val="24"/>
          <w:szCs w:val="24"/>
        </w:rPr>
        <w:t xml:space="preserve">Se směnou částí pozemků p. č. 12062/1 a p. č. 11794/1 v k. ú. Plzeň ve vlastnictví TJ Prazdroj Plzeň, o. s., části pozemku p. č. 11779/1 a p. č. 11796 v k. ú. Plzeň ve vlastnictví SK SPORCENTRUM ROUDNÁ z.s. za část pozemků p. č. 11779/4 v k. ú. Plzeň, která není dotčena kanalizační stokou DN 500, resp. jejím ochranným pásmem VODÁRNY PLZEŇ a.s., a p. č. 11793/1 v k. ú. Plzeň v majetku města Plzně </w:t>
      </w:r>
      <w:r>
        <w:rPr>
          <w:sz w:val="24"/>
          <w:szCs w:val="24"/>
        </w:rPr>
        <w:t xml:space="preserve">TÚ </w:t>
      </w:r>
      <w:r w:rsidRPr="00F367F7">
        <w:rPr>
          <w:sz w:val="24"/>
          <w:szCs w:val="24"/>
        </w:rPr>
        <w:t>souhlasí za následujících podmínek:</w:t>
      </w:r>
    </w:p>
    <w:p w:rsidR="00C24E77" w:rsidRPr="00F367F7" w:rsidRDefault="00C24E77" w:rsidP="00C24E77">
      <w:pPr>
        <w:numPr>
          <w:ilvl w:val="0"/>
          <w:numId w:val="2"/>
        </w:numPr>
        <w:jc w:val="both"/>
        <w:rPr>
          <w:sz w:val="24"/>
          <w:szCs w:val="24"/>
        </w:rPr>
      </w:pPr>
      <w:r w:rsidRPr="00F367F7">
        <w:rPr>
          <w:sz w:val="24"/>
          <w:szCs w:val="24"/>
        </w:rPr>
        <w:t xml:space="preserve">Respektování vodohospodářské sítě v majetku VODÁRNY PLZEŇ a.s. včetně jejího ochranného pásma dle ustanovení a podmínek zákona č. 274/2001 Sb. ve znění pozdějších předpisů. </w:t>
      </w:r>
    </w:p>
    <w:p w:rsidR="00C24E77" w:rsidRPr="00F367F7" w:rsidRDefault="00C24E77" w:rsidP="00C24E77">
      <w:pPr>
        <w:numPr>
          <w:ilvl w:val="0"/>
          <w:numId w:val="2"/>
        </w:numPr>
        <w:jc w:val="both"/>
        <w:rPr>
          <w:sz w:val="24"/>
          <w:szCs w:val="24"/>
        </w:rPr>
      </w:pPr>
      <w:r w:rsidRPr="00F367F7">
        <w:rPr>
          <w:sz w:val="24"/>
          <w:szCs w:val="24"/>
        </w:rPr>
        <w:t>Ve prospěch VODÁRNY PLZEŇ a.s. bude uzavřena smlouva o zřízení služebnosti na umístění, provozování kanalizační stoky DN 500 včetně jejího ochranného pásma v majetku VODÁRNY PLZEŇ a.s. a přístupu, příjezdu těžkou technikou k této kanalizaci s občanským sdružením SK SPORTCENTRUM ROUDNÁ z.s., vlastníkem pozemku p. č.11779/1 v k. ú. Plzeň.</w:t>
      </w:r>
    </w:p>
    <w:p w:rsidR="00C24E77" w:rsidRPr="00F367F7" w:rsidRDefault="00C24E77" w:rsidP="00C24E77">
      <w:pPr>
        <w:numPr>
          <w:ilvl w:val="0"/>
          <w:numId w:val="2"/>
        </w:numPr>
        <w:jc w:val="both"/>
        <w:rPr>
          <w:sz w:val="24"/>
          <w:szCs w:val="24"/>
        </w:rPr>
      </w:pPr>
      <w:r w:rsidRPr="00F367F7">
        <w:rPr>
          <w:sz w:val="24"/>
          <w:szCs w:val="24"/>
        </w:rPr>
        <w:t>Ve prospěch VODÁRNY PLZEŇ a.s. bude uzavřena smlouva o zřízení služebnosti za účelem přístupu, příjezdu těžkou technikou ke kanalizační stoce DN 500 v majetku VODÁRNY PLZEŇ a.s. se společností TJ PRAZDROJ Plzeň, o. s., v rámci převodu předmětné části pozemku p. č. 11779/4 v k. ú. Plzeň.</w:t>
      </w:r>
    </w:p>
    <w:p w:rsidR="00C24E77" w:rsidRDefault="00C24E77" w:rsidP="00C24E77">
      <w:pPr>
        <w:numPr>
          <w:ilvl w:val="0"/>
          <w:numId w:val="2"/>
        </w:numPr>
        <w:ind w:left="0" w:firstLine="426"/>
        <w:jc w:val="both"/>
        <w:rPr>
          <w:sz w:val="24"/>
          <w:szCs w:val="24"/>
        </w:rPr>
      </w:pPr>
      <w:r w:rsidRPr="00F367F7">
        <w:rPr>
          <w:sz w:val="24"/>
          <w:szCs w:val="24"/>
        </w:rPr>
        <w:t>Pracovník vlastníka kanalizační stoky DN 500 nebo jim pověřená třetí osoba i pracovník této třetí osoby (např. provozovatel) bude mít po dobu 24 hodin umožněn volný přístup a příjezd přes vrata umístěná na hranici pozemku p. č. 11779/4 v k. ú. Plzeň s pozemkem p. č. 12760/1 v k.ú. Plzeň za účelem zajištění provozování, přístupu a příjezdu těžkou technikou ke kanalizaci DN 500 v majetku VODÁRNY PLZEŇ a.s. v celé její délce situované na pozemku p. č. 11779/4 v k. ú. Plzeň v majetku TJ PRAZDROJ z. s. a na pozemku p. č. 11779/1 v k. ú. Plzeň v majetku SK SPORTCENTRUM ROUDNÁ z.s. Tyto skutečnosti požadujeme začlenit do smluvního vztahu.</w:t>
      </w:r>
      <w:r>
        <w:rPr>
          <w:sz w:val="24"/>
          <w:szCs w:val="24"/>
        </w:rPr>
        <w:t xml:space="preserve"> </w:t>
      </w:r>
      <w:r w:rsidRPr="0006126C">
        <w:rPr>
          <w:sz w:val="24"/>
          <w:szCs w:val="24"/>
        </w:rPr>
        <w:t xml:space="preserve">Pozemky p.č. 11796 a 11779/1 k.ú. Plzeň jsou ve vlastnictví SK SPORTCENTRUM ROUDNÁ z.s. Na pozemku p.č. 11796 k.ú. Plzeň se nachází místní komunikace ulice Lipová. </w:t>
      </w:r>
    </w:p>
    <w:p w:rsidR="00C24E77" w:rsidRPr="000E19B3" w:rsidRDefault="00C24E77" w:rsidP="00C24E77">
      <w:pPr>
        <w:jc w:val="both"/>
        <w:rPr>
          <w:sz w:val="24"/>
          <w:szCs w:val="24"/>
        </w:rPr>
      </w:pPr>
      <w:r w:rsidRPr="000E19B3">
        <w:rPr>
          <w:sz w:val="24"/>
          <w:szCs w:val="24"/>
        </w:rPr>
        <w:lastRenderedPageBreak/>
        <w:t xml:space="preserve">Pozemky p.č. 12062/1 a 11794/1 k.ú. Plzeň jsou ve vlastnictví TJ Prazdroj Plzeň z.s. Část pozemku p.č. 12062/1 bude dotčena investiční akcí „Chodník v ul. Pod Všemi svatými“. </w:t>
      </w:r>
    </w:p>
    <w:p w:rsidR="00C24E77" w:rsidRDefault="00C24E77" w:rsidP="00C24E77">
      <w:pPr>
        <w:tabs>
          <w:tab w:val="left" w:pos="6946"/>
        </w:tabs>
        <w:jc w:val="both"/>
        <w:rPr>
          <w:sz w:val="24"/>
          <w:szCs w:val="24"/>
        </w:rPr>
      </w:pPr>
      <w:r>
        <w:rPr>
          <w:sz w:val="24"/>
          <w:szCs w:val="24"/>
        </w:rPr>
        <w:t>TÚ s</w:t>
      </w:r>
      <w:r w:rsidRPr="00F367F7">
        <w:rPr>
          <w:sz w:val="24"/>
          <w:szCs w:val="24"/>
        </w:rPr>
        <w:t>ouhlasí se získáním pozemku p.č. 11796 a částí  pozemků p.č. 11779/1 (271 m²), p.č. 12062/1 (452 m²), p.č.  11794/1 (288 m²) do majetku města Plzně.</w:t>
      </w:r>
    </w:p>
    <w:p w:rsidR="00C24E77" w:rsidRDefault="00C24E77" w:rsidP="00C24E77">
      <w:pPr>
        <w:tabs>
          <w:tab w:val="left" w:pos="6946"/>
        </w:tabs>
        <w:jc w:val="both"/>
        <w:rPr>
          <w:sz w:val="24"/>
          <w:szCs w:val="24"/>
        </w:rPr>
      </w:pPr>
      <w:r w:rsidRPr="00F367F7">
        <w:rPr>
          <w:sz w:val="24"/>
          <w:szCs w:val="24"/>
        </w:rPr>
        <w:t xml:space="preserve">Pozemky p.č. 11779/4 a 11793/1 k.ú. Plzeň jsou svěřeny SVSMP. Na požadovanou část pozemku p.č. 11779/4 je uzavřená smlouva o výpůjčce č. 2007/005233 s SK SPORTCENTRUM ROUDNÁ z.s. Na část pozemku p.č. 11793/1 jsou uzavřeny </w:t>
      </w:r>
      <w:r w:rsidRPr="00645BF7">
        <w:rPr>
          <w:sz w:val="24"/>
          <w:szCs w:val="24"/>
        </w:rPr>
        <w:t>na dobu neurčitou s šestiměsíční výpovědní dobou nájemní smlouvy za účelem zahrádek. V současné době je projednáváno jejich ukončení. K prodloužení smlouvy o výpůjčce č. 2007/005233</w:t>
      </w:r>
      <w:r w:rsidRPr="00F367F7">
        <w:rPr>
          <w:sz w:val="24"/>
          <w:szCs w:val="24"/>
        </w:rPr>
        <w:t xml:space="preserve"> bylo vydáno stanovisko TÚ MMP dne 18. 8. 2017.</w:t>
      </w:r>
    </w:p>
    <w:p w:rsidR="00C24E77" w:rsidRDefault="00C24E77" w:rsidP="00C24E77">
      <w:pPr>
        <w:tabs>
          <w:tab w:val="left" w:pos="6946"/>
        </w:tabs>
        <w:jc w:val="both"/>
        <w:rPr>
          <w:sz w:val="24"/>
          <w:szCs w:val="24"/>
        </w:rPr>
      </w:pPr>
      <w:r>
        <w:rPr>
          <w:sz w:val="24"/>
          <w:szCs w:val="24"/>
        </w:rPr>
        <w:t>TÚ s</w:t>
      </w:r>
      <w:r w:rsidRPr="00F367F7">
        <w:rPr>
          <w:sz w:val="24"/>
          <w:szCs w:val="24"/>
        </w:rPr>
        <w:t>ouhlasí se zařazením části pozemku p.č. 11779/4 o velikosti 172 m² do směny za výše uvedené pozemky. Z pozemku p.č. 11793/1 je možné do směny zařadit pouze pruh šířky 7,0 m při hranici areálu tenisových kurtů, kde bude možn</w:t>
      </w:r>
      <w:r>
        <w:rPr>
          <w:sz w:val="24"/>
          <w:szCs w:val="24"/>
        </w:rPr>
        <w:t>o umístit kolmá parkovací stání</w:t>
      </w:r>
      <w:r w:rsidRPr="00F367F7">
        <w:rPr>
          <w:sz w:val="24"/>
          <w:szCs w:val="24"/>
        </w:rPr>
        <w:t>. Další část je nutné ponechat v majetku města pro stavbu komunikace pro dopravní napojení sousední lokality (v souladu se studií ÚKRMP Plzeň - Karlovarská). Za komunikací bude již blok budoucí zástavby.</w:t>
      </w:r>
      <w:r>
        <w:rPr>
          <w:sz w:val="24"/>
          <w:szCs w:val="24"/>
        </w:rPr>
        <w:t xml:space="preserve"> </w:t>
      </w:r>
    </w:p>
    <w:p w:rsidR="00C24E77" w:rsidRDefault="00C24E77" w:rsidP="00C24E77">
      <w:pPr>
        <w:tabs>
          <w:tab w:val="left" w:pos="6946"/>
        </w:tabs>
        <w:jc w:val="both"/>
        <w:rPr>
          <w:sz w:val="24"/>
          <w:szCs w:val="24"/>
        </w:rPr>
      </w:pPr>
      <w:r w:rsidRPr="00F367F7">
        <w:rPr>
          <w:sz w:val="24"/>
          <w:szCs w:val="24"/>
        </w:rPr>
        <w:t>Současně se směnou musí být zřízeno právo služebnosti ve prospěch města Plzně za účelem vzdušného vedení veřejného osvětlení, které vede nad pozemkem p.č. 11779/4 k.ú. Plzeň.</w:t>
      </w:r>
    </w:p>
    <w:p w:rsidR="00C24E77" w:rsidRPr="00F367F7" w:rsidRDefault="00C24E77" w:rsidP="00C24E77">
      <w:pPr>
        <w:tabs>
          <w:tab w:val="left" w:pos="6946"/>
        </w:tabs>
        <w:jc w:val="both"/>
        <w:rPr>
          <w:sz w:val="24"/>
          <w:szCs w:val="24"/>
        </w:rPr>
      </w:pPr>
      <w:r w:rsidRPr="00F367F7">
        <w:rPr>
          <w:sz w:val="24"/>
          <w:szCs w:val="24"/>
        </w:rPr>
        <w:t>V souladu se zápisem z jednání ze dne 21. 11. 2017 požaduj</w:t>
      </w:r>
      <w:r>
        <w:rPr>
          <w:sz w:val="24"/>
          <w:szCs w:val="24"/>
        </w:rPr>
        <w:t>í TÚ</w:t>
      </w:r>
      <w:r w:rsidRPr="00F367F7">
        <w:rPr>
          <w:sz w:val="24"/>
          <w:szCs w:val="24"/>
        </w:rPr>
        <w:t xml:space="preserve"> uzavřít služebnosti na VHI umístěnou v pozemcích TJ Prazdroj Plzeň z.s. a SK SPORTCENTRUM ROUDNÁ z.s., popřípadě v pozemcích, které na žadatele přejdou.</w:t>
      </w:r>
    </w:p>
    <w:p w:rsidR="00C24E77" w:rsidRDefault="00C24E77" w:rsidP="00C24E77">
      <w:pPr>
        <w:tabs>
          <w:tab w:val="left" w:pos="6946"/>
        </w:tabs>
        <w:jc w:val="both"/>
        <w:rPr>
          <w:sz w:val="24"/>
          <w:szCs w:val="24"/>
        </w:rPr>
      </w:pPr>
      <w:r>
        <w:rPr>
          <w:sz w:val="24"/>
          <w:szCs w:val="24"/>
        </w:rPr>
        <w:t>O vyjádření MO Plzeň 1 bylo k navrhovanému majetkovému vypořádání formou vzájemných darů požádáno ke dni 28. 3. 2018</w:t>
      </w:r>
      <w:r w:rsidR="008B02F6">
        <w:rPr>
          <w:sz w:val="24"/>
          <w:szCs w:val="24"/>
        </w:rPr>
        <w:t xml:space="preserve">. </w:t>
      </w:r>
      <w:r>
        <w:rPr>
          <w:sz w:val="24"/>
          <w:szCs w:val="24"/>
        </w:rPr>
        <w:t xml:space="preserve">  </w:t>
      </w:r>
    </w:p>
    <w:p w:rsidR="00C24E77" w:rsidRDefault="00C24E77" w:rsidP="00C24E77">
      <w:pPr>
        <w:tabs>
          <w:tab w:val="left" w:pos="6946"/>
        </w:tabs>
        <w:jc w:val="both"/>
        <w:rPr>
          <w:sz w:val="24"/>
          <w:szCs w:val="24"/>
        </w:rPr>
      </w:pPr>
      <w:r>
        <w:rPr>
          <w:sz w:val="24"/>
          <w:szCs w:val="24"/>
        </w:rPr>
        <w:t xml:space="preserve">Materiál v dané věci (majetkové vypořádání pozemků formou vzájemných darů) byl předložen na jednání KNM RMP dne 10. 4. 2018. </w:t>
      </w:r>
    </w:p>
    <w:p w:rsidR="00C24E77" w:rsidRDefault="00C24E77" w:rsidP="00C24E77">
      <w:pPr>
        <w:tabs>
          <w:tab w:val="left" w:pos="6946"/>
        </w:tabs>
        <w:jc w:val="both"/>
        <w:rPr>
          <w:sz w:val="24"/>
          <w:szCs w:val="24"/>
        </w:rPr>
      </w:pPr>
      <w:r>
        <w:rPr>
          <w:sz w:val="24"/>
          <w:szCs w:val="24"/>
        </w:rPr>
        <w:t>KNM RMP ze dne 10. 4. 2018 souhlasí s danou majetkovou transakcí – viz příloha č. 10/1 –10/2.</w:t>
      </w:r>
    </w:p>
    <w:p w:rsidR="00C24E77" w:rsidRDefault="002D2953" w:rsidP="00C24E77">
      <w:pPr>
        <w:tabs>
          <w:tab w:val="left" w:pos="6946"/>
        </w:tabs>
        <w:jc w:val="both"/>
        <w:rPr>
          <w:sz w:val="24"/>
          <w:szCs w:val="24"/>
        </w:rPr>
      </w:pPr>
      <w:r>
        <w:rPr>
          <w:sz w:val="24"/>
          <w:szCs w:val="24"/>
        </w:rPr>
        <w:t xml:space="preserve">Materiál byl předložen k projednání </w:t>
      </w:r>
      <w:r w:rsidR="00C24E77">
        <w:rPr>
          <w:sz w:val="24"/>
          <w:szCs w:val="24"/>
        </w:rPr>
        <w:t xml:space="preserve">RMP </w:t>
      </w:r>
      <w:r>
        <w:rPr>
          <w:sz w:val="24"/>
          <w:szCs w:val="24"/>
        </w:rPr>
        <w:t xml:space="preserve">dne 21. 6. 2018 před jednáním ZMP. Z tohoto důvodu není usnesení k dispozici. </w:t>
      </w:r>
    </w:p>
    <w:p w:rsidR="00C24E77" w:rsidRDefault="00C24E77" w:rsidP="00C24E77">
      <w:pPr>
        <w:pStyle w:val="vlevo"/>
      </w:pPr>
    </w:p>
    <w:p w:rsidR="00C24E77" w:rsidRPr="00BB5C0F" w:rsidRDefault="00C24E77" w:rsidP="00C24E77">
      <w:pPr>
        <w:pStyle w:val="ostzahl"/>
      </w:pPr>
      <w:r>
        <w:t>Předpokládaný cílový stav</w:t>
      </w:r>
    </w:p>
    <w:p w:rsidR="00C24E77" w:rsidRDefault="00C24E77" w:rsidP="00C24E77">
      <w:pPr>
        <w:jc w:val="both"/>
        <w:rPr>
          <w:sz w:val="24"/>
          <w:szCs w:val="24"/>
        </w:rPr>
      </w:pPr>
      <w:r>
        <w:rPr>
          <w:sz w:val="24"/>
          <w:szCs w:val="24"/>
        </w:rPr>
        <w:t xml:space="preserve">Realizace majetkového vypořádání pozemků v k. ú. Plzeň mezi městem Plzní, </w:t>
      </w:r>
      <w:r w:rsidRPr="00FA445A">
        <w:rPr>
          <w:sz w:val="24"/>
          <w:szCs w:val="24"/>
        </w:rPr>
        <w:t>T</w:t>
      </w:r>
      <w:r>
        <w:rPr>
          <w:sz w:val="24"/>
          <w:szCs w:val="24"/>
        </w:rPr>
        <w:t>J</w:t>
      </w:r>
      <w:r w:rsidRPr="00FA445A">
        <w:rPr>
          <w:sz w:val="24"/>
          <w:szCs w:val="24"/>
        </w:rPr>
        <w:t xml:space="preserve"> Prazdroj Plzeň</w:t>
      </w:r>
      <w:r>
        <w:rPr>
          <w:sz w:val="24"/>
          <w:szCs w:val="24"/>
        </w:rPr>
        <w:t xml:space="preserve"> z.s. a SK SPORTCENTRUM ROUDNÁ z.s.,</w:t>
      </w:r>
      <w:r w:rsidRPr="00766520">
        <w:rPr>
          <w:sz w:val="24"/>
          <w:szCs w:val="24"/>
        </w:rPr>
        <w:t xml:space="preserve"> </w:t>
      </w:r>
      <w:r>
        <w:rPr>
          <w:sz w:val="24"/>
          <w:szCs w:val="24"/>
        </w:rPr>
        <w:t xml:space="preserve"> formou vzájemných darů, kdy:</w:t>
      </w:r>
    </w:p>
    <w:p w:rsidR="00C24E77" w:rsidRDefault="00C24E77" w:rsidP="00C24E77">
      <w:pPr>
        <w:ind w:left="142" w:hanging="142"/>
        <w:jc w:val="both"/>
        <w:rPr>
          <w:sz w:val="24"/>
          <w:szCs w:val="24"/>
        </w:rPr>
      </w:pPr>
      <w:r>
        <w:rPr>
          <w:sz w:val="24"/>
          <w:szCs w:val="24"/>
        </w:rPr>
        <w:t xml:space="preserve">- město Plzeň získá do majetku část parc. č. 12062/1 (nově označ. parc.č. 12062/30), k. ú. Plzeň (pro účely rekonstrukce chodníku v ul. Pod Všemi svatými v rámci IA MO Plzeň 1), část pozemku parc. č. 11779/1 (nově označ. parc. č. 11779/5), k. ú. Plzeň (pro rozšíření vstupu do parku), části parc. č. 11794/1 (nově označ. parc. č. 11794/7 a 11794/8), k. ú. Plzeň (v budoucím koridoru Lipová) a pozemek parc. č. 11796 (Lipová ul.) v souvislosti s budoucí výstavbou a úpravou komunikací a chodníků v souladu se schválenou územní studií „Plzeň, Karlovarská“ (ÚKRMP, 9/2015) a v souvislosti </w:t>
      </w:r>
      <w:r w:rsidRPr="00FA445A">
        <w:rPr>
          <w:sz w:val="24"/>
          <w:szCs w:val="24"/>
        </w:rPr>
        <w:t>připravovanou IA MO Plzeň 1: „</w:t>
      </w:r>
      <w:r>
        <w:rPr>
          <w:sz w:val="24"/>
          <w:szCs w:val="24"/>
        </w:rPr>
        <w:t xml:space="preserve">Chodník v ul. Pod Všemi svatými“ a </w:t>
      </w:r>
    </w:p>
    <w:p w:rsidR="00C24E77" w:rsidRDefault="00C24E77" w:rsidP="00C24E77">
      <w:pPr>
        <w:ind w:left="142" w:hanging="142"/>
        <w:jc w:val="both"/>
        <w:rPr>
          <w:sz w:val="24"/>
          <w:szCs w:val="24"/>
        </w:rPr>
      </w:pPr>
      <w:r>
        <w:rPr>
          <w:sz w:val="24"/>
          <w:szCs w:val="24"/>
        </w:rPr>
        <w:t>- SK SPORTCETRUM ROUDNÁ z.s. získá do majetku část parc. č. 11793/1 (nově označ. parc.č. 11793/20) (pro budoucí parkovací stání), část parc. č. 11779/4 (nově označ parc.č. 11779/4), vše k. ú. Plzeň (tenisový kurt, část pozemku má SK ve výpůjčce) včetně zřízení služebností.</w:t>
      </w:r>
    </w:p>
    <w:p w:rsidR="00C24E77" w:rsidRDefault="00C24E77" w:rsidP="00C24E77">
      <w:pPr>
        <w:pStyle w:val="vlevo"/>
        <w:ind w:left="136"/>
        <w:rPr>
          <w:szCs w:val="24"/>
        </w:rPr>
      </w:pPr>
      <w:r>
        <w:rPr>
          <w:szCs w:val="24"/>
        </w:rPr>
        <w:t xml:space="preserve">Na část </w:t>
      </w:r>
      <w:r w:rsidRPr="00233B6D">
        <w:rPr>
          <w:szCs w:val="24"/>
        </w:rPr>
        <w:t xml:space="preserve">městského pozemku parc.č. 11779/4 o </w:t>
      </w:r>
      <w:r>
        <w:rPr>
          <w:szCs w:val="24"/>
        </w:rPr>
        <w:t>výměře 172 m</w:t>
      </w:r>
      <w:r>
        <w:rPr>
          <w:szCs w:val="24"/>
          <w:vertAlign w:val="superscript"/>
        </w:rPr>
        <w:t>2</w:t>
      </w:r>
      <w:r>
        <w:rPr>
          <w:szCs w:val="24"/>
        </w:rPr>
        <w:t xml:space="preserve"> z </w:t>
      </w:r>
      <w:r w:rsidRPr="00233B6D">
        <w:rPr>
          <w:szCs w:val="24"/>
        </w:rPr>
        <w:t>celkové výměře 1314 m</w:t>
      </w:r>
      <w:r w:rsidRPr="00233B6D">
        <w:rPr>
          <w:szCs w:val="24"/>
          <w:vertAlign w:val="superscript"/>
        </w:rPr>
        <w:t>2</w:t>
      </w:r>
      <w:r>
        <w:rPr>
          <w:szCs w:val="24"/>
        </w:rPr>
        <w:t>, o</w:t>
      </w:r>
      <w:r w:rsidRPr="00233B6D">
        <w:rPr>
          <w:szCs w:val="24"/>
        </w:rPr>
        <w:t xml:space="preserve">statní plocha, jiná plocha </w:t>
      </w:r>
      <w:r>
        <w:rPr>
          <w:szCs w:val="24"/>
        </w:rPr>
        <w:t>je</w:t>
      </w:r>
      <w:r w:rsidRPr="00C13E72">
        <w:rPr>
          <w:szCs w:val="24"/>
        </w:rPr>
        <w:t xml:space="preserve"> v současné době uzavřena Smlouva o výpůjčce č. 2007/005233 ze dne 30. 10. 2007 s občanským sdružením SK SPORTCENTUM ROUDNÁ z.s. </w:t>
      </w:r>
      <w:r w:rsidRPr="00C13E72">
        <w:rPr>
          <w:szCs w:val="24"/>
        </w:rPr>
        <w:lastRenderedPageBreak/>
        <w:t>Dodatkem č. 1 ke smlouvě o výpůjčce byla výpůjční doba prodloužena na 2 roky, tj. do 30. 10. 2019</w:t>
      </w:r>
      <w:r>
        <w:rPr>
          <w:szCs w:val="24"/>
        </w:rPr>
        <w:t>. V případě realizace vzájemných darů dojde k ukončení této výpůjčky.</w:t>
      </w:r>
    </w:p>
    <w:p w:rsidR="00C24E77" w:rsidRPr="00507DF7" w:rsidRDefault="00C24E77" w:rsidP="00C24E77">
      <w:pPr>
        <w:ind w:left="142" w:hanging="142"/>
        <w:jc w:val="both"/>
        <w:rPr>
          <w:sz w:val="24"/>
          <w:szCs w:val="24"/>
        </w:rPr>
      </w:pPr>
    </w:p>
    <w:p w:rsidR="00C24E77" w:rsidRDefault="00C24E77" w:rsidP="00C24E77">
      <w:pPr>
        <w:tabs>
          <w:tab w:val="left" w:pos="6946"/>
        </w:tabs>
        <w:jc w:val="both"/>
        <w:rPr>
          <w:sz w:val="24"/>
          <w:szCs w:val="24"/>
        </w:rPr>
      </w:pPr>
      <w:r>
        <w:rPr>
          <w:sz w:val="24"/>
          <w:szCs w:val="24"/>
        </w:rPr>
        <w:t>Součástí darovací smlouvy bude zřízení</w:t>
      </w:r>
      <w:r w:rsidRPr="00447716">
        <w:rPr>
          <w:sz w:val="24"/>
          <w:szCs w:val="24"/>
        </w:rPr>
        <w:t xml:space="preserve"> služebnost</w:t>
      </w:r>
      <w:r>
        <w:rPr>
          <w:sz w:val="24"/>
          <w:szCs w:val="24"/>
        </w:rPr>
        <w:t>i</w:t>
      </w:r>
      <w:r w:rsidRPr="00447716">
        <w:rPr>
          <w:sz w:val="24"/>
          <w:szCs w:val="24"/>
        </w:rPr>
        <w:t xml:space="preserve"> ve prospěch města Plzně na umístění</w:t>
      </w:r>
      <w:r>
        <w:rPr>
          <w:sz w:val="24"/>
          <w:szCs w:val="24"/>
        </w:rPr>
        <w:t xml:space="preserve"> vedení vzdušného VO, které vede nad pozemkem parc. č. 11779/4, k. ú. Plzeň, a to v rozsahu GP označené jako plocha A.</w:t>
      </w:r>
    </w:p>
    <w:p w:rsidR="00C24E77" w:rsidRDefault="00C24E77" w:rsidP="00C24E77">
      <w:pPr>
        <w:tabs>
          <w:tab w:val="left" w:pos="6946"/>
        </w:tabs>
        <w:jc w:val="both"/>
        <w:rPr>
          <w:sz w:val="24"/>
          <w:szCs w:val="24"/>
        </w:rPr>
      </w:pPr>
      <w:r>
        <w:rPr>
          <w:sz w:val="24"/>
          <w:szCs w:val="24"/>
        </w:rPr>
        <w:t xml:space="preserve">Dále bude zřízena služebnost ve prospěch </w:t>
      </w:r>
      <w:r w:rsidRPr="00624C15">
        <w:rPr>
          <w:sz w:val="24"/>
          <w:szCs w:val="24"/>
        </w:rPr>
        <w:t>VODÁRN</w:t>
      </w:r>
      <w:r>
        <w:rPr>
          <w:sz w:val="24"/>
          <w:szCs w:val="24"/>
        </w:rPr>
        <w:t>Y</w:t>
      </w:r>
      <w:r w:rsidRPr="00624C15">
        <w:rPr>
          <w:sz w:val="24"/>
          <w:szCs w:val="24"/>
        </w:rPr>
        <w:t xml:space="preserve"> a.s</w:t>
      </w:r>
      <w:r>
        <w:rPr>
          <w:szCs w:val="24"/>
        </w:rPr>
        <w:t xml:space="preserve">. </w:t>
      </w:r>
      <w:r>
        <w:rPr>
          <w:sz w:val="24"/>
          <w:szCs w:val="24"/>
        </w:rPr>
        <w:t xml:space="preserve">na umístnění </w:t>
      </w:r>
      <w:r w:rsidRPr="00447716">
        <w:rPr>
          <w:sz w:val="24"/>
          <w:szCs w:val="24"/>
        </w:rPr>
        <w:t xml:space="preserve">a provozování kanalizační sítě DN 500 včetně jejího ochranného pásma v majetku </w:t>
      </w:r>
      <w:r w:rsidRPr="00624C15">
        <w:rPr>
          <w:sz w:val="24"/>
          <w:szCs w:val="24"/>
        </w:rPr>
        <w:t>VOD</w:t>
      </w:r>
      <w:r>
        <w:rPr>
          <w:sz w:val="24"/>
          <w:szCs w:val="24"/>
        </w:rPr>
        <w:t>ÁRNY</w:t>
      </w:r>
      <w:r w:rsidRPr="00624C15">
        <w:rPr>
          <w:sz w:val="24"/>
          <w:szCs w:val="24"/>
        </w:rPr>
        <w:t xml:space="preserve"> a.s.</w:t>
      </w:r>
      <w:r>
        <w:rPr>
          <w:szCs w:val="24"/>
        </w:rPr>
        <w:t xml:space="preserve"> </w:t>
      </w:r>
      <w:r w:rsidRPr="00447716">
        <w:rPr>
          <w:sz w:val="24"/>
          <w:szCs w:val="24"/>
        </w:rPr>
        <w:t xml:space="preserve">a přístupu a příjezdu těžkou technikou k této kanalizaci v celé její délce situované na povinném pozemku parc.č. 11779/4, k.ú. Plzeň včetně jejího ochranného pásma, </w:t>
      </w:r>
      <w:r>
        <w:rPr>
          <w:sz w:val="24"/>
          <w:szCs w:val="24"/>
        </w:rPr>
        <w:t>jehož část přejde</w:t>
      </w:r>
      <w:r w:rsidRPr="00447716">
        <w:rPr>
          <w:sz w:val="24"/>
          <w:szCs w:val="24"/>
        </w:rPr>
        <w:t xml:space="preserve"> </w:t>
      </w:r>
      <w:r>
        <w:rPr>
          <w:sz w:val="24"/>
          <w:szCs w:val="24"/>
        </w:rPr>
        <w:t>darem</w:t>
      </w:r>
      <w:r w:rsidRPr="00447716">
        <w:rPr>
          <w:sz w:val="24"/>
          <w:szCs w:val="24"/>
        </w:rPr>
        <w:t xml:space="preserve"> do majetku společnosti </w:t>
      </w:r>
      <w:r>
        <w:rPr>
          <w:sz w:val="24"/>
          <w:szCs w:val="24"/>
        </w:rPr>
        <w:t xml:space="preserve">SK </w:t>
      </w:r>
      <w:r w:rsidRPr="005B3330">
        <w:rPr>
          <w:sz w:val="24"/>
          <w:szCs w:val="24"/>
        </w:rPr>
        <w:t>SPORTCENTRUM ROUDNÁ</w:t>
      </w:r>
      <w:r>
        <w:rPr>
          <w:sz w:val="24"/>
          <w:szCs w:val="24"/>
        </w:rPr>
        <w:t>, z.s., a to v rozsahu GP označené jako plocha B.</w:t>
      </w:r>
    </w:p>
    <w:p w:rsidR="00C24E77" w:rsidRDefault="00C24E77" w:rsidP="00C24E77">
      <w:pPr>
        <w:tabs>
          <w:tab w:val="left" w:pos="6946"/>
        </w:tabs>
        <w:jc w:val="both"/>
        <w:rPr>
          <w:szCs w:val="24"/>
        </w:rPr>
      </w:pPr>
      <w:r>
        <w:rPr>
          <w:sz w:val="24"/>
          <w:szCs w:val="24"/>
        </w:rPr>
        <w:t xml:space="preserve">Vzhledem k tomu, že na povinném pozemku parc. č. 11779/1, k. ú. Plzeň ve vlastnictví SK </w:t>
      </w:r>
      <w:r w:rsidRPr="00CB0939">
        <w:rPr>
          <w:sz w:val="24"/>
          <w:szCs w:val="24"/>
        </w:rPr>
        <w:t>SPORTCENTRUM ROUDNÁ</w:t>
      </w:r>
      <w:r>
        <w:rPr>
          <w:sz w:val="24"/>
          <w:szCs w:val="24"/>
        </w:rPr>
        <w:t xml:space="preserve"> </w:t>
      </w:r>
      <w:r w:rsidRPr="00CB0939">
        <w:rPr>
          <w:sz w:val="24"/>
          <w:szCs w:val="24"/>
        </w:rPr>
        <w:t xml:space="preserve"> z.s.  je umístěna kanalizační sítě DN 500, současně s darovací smlouvou bude mezi SK SPORTCENTRUM ROUDNÁ , z.s. jako povinným a Vodárnou a.s. jako oprávněným, uzavřena smlouva o zřízení služebnosti na umístění a provozování této sítě s  vlastníkem řadu, tj. s </w:t>
      </w:r>
      <w:r w:rsidRPr="00624C15">
        <w:rPr>
          <w:sz w:val="24"/>
          <w:szCs w:val="24"/>
        </w:rPr>
        <w:t>VODÁRNOU a.s</w:t>
      </w:r>
      <w:r>
        <w:rPr>
          <w:szCs w:val="24"/>
        </w:rPr>
        <w:t>.</w:t>
      </w:r>
      <w:r w:rsidRPr="00CB0939">
        <w:rPr>
          <w:sz w:val="24"/>
          <w:szCs w:val="24"/>
        </w:rPr>
        <w:t>, a to v rozsahu GP</w:t>
      </w:r>
      <w:r>
        <w:rPr>
          <w:sz w:val="24"/>
          <w:szCs w:val="24"/>
        </w:rPr>
        <w:t xml:space="preserve"> označené jako plocha C</w:t>
      </w:r>
      <w:r w:rsidRPr="00CB0939">
        <w:rPr>
          <w:sz w:val="24"/>
          <w:szCs w:val="24"/>
        </w:rPr>
        <w:t>.</w:t>
      </w:r>
      <w:r>
        <w:rPr>
          <w:szCs w:val="24"/>
        </w:rPr>
        <w:t xml:space="preserve"> </w:t>
      </w:r>
    </w:p>
    <w:p w:rsidR="00C24E77" w:rsidRPr="00DC7E98" w:rsidRDefault="00C24E77" w:rsidP="00C24E77">
      <w:pPr>
        <w:tabs>
          <w:tab w:val="left" w:pos="6946"/>
        </w:tabs>
        <w:jc w:val="both"/>
        <w:rPr>
          <w:szCs w:val="24"/>
        </w:rPr>
      </w:pPr>
    </w:p>
    <w:p w:rsidR="00C24E77" w:rsidRDefault="00C24E77" w:rsidP="00C24E77">
      <w:pPr>
        <w:pStyle w:val="ostzahl"/>
      </w:pPr>
      <w:r>
        <w:t>Navrhované varianty řešení</w:t>
      </w:r>
    </w:p>
    <w:p w:rsidR="00C24E77" w:rsidRDefault="00C24E77" w:rsidP="00C24E77">
      <w:pPr>
        <w:pStyle w:val="vlevo"/>
      </w:pPr>
      <w:r>
        <w:t xml:space="preserve">Viz návrh usnesení.   </w:t>
      </w:r>
    </w:p>
    <w:p w:rsidR="00C24E77" w:rsidRPr="00AE1386" w:rsidRDefault="00C24E77" w:rsidP="00C24E77">
      <w:pPr>
        <w:pStyle w:val="vlevo"/>
        <w:rPr>
          <w:i/>
        </w:rPr>
      </w:pPr>
    </w:p>
    <w:p w:rsidR="00C24E77" w:rsidRDefault="00C24E77" w:rsidP="00C24E77">
      <w:pPr>
        <w:pStyle w:val="ostzahl"/>
      </w:pPr>
      <w:r>
        <w:t>Doporučená varianta řešení</w:t>
      </w:r>
    </w:p>
    <w:p w:rsidR="00C24E77" w:rsidRDefault="00C24E77" w:rsidP="00C24E77">
      <w:pPr>
        <w:pStyle w:val="vlevo"/>
      </w:pPr>
      <w:r>
        <w:t>Viz návrh usnesení.</w:t>
      </w:r>
    </w:p>
    <w:p w:rsidR="00C24E77" w:rsidRPr="004E2A44" w:rsidRDefault="00C24E77" w:rsidP="00C24E77">
      <w:pPr>
        <w:pStyle w:val="vlevo"/>
      </w:pPr>
    </w:p>
    <w:p w:rsidR="00C24E77" w:rsidRDefault="00C24E77" w:rsidP="00C24E77">
      <w:pPr>
        <w:pStyle w:val="ostzahl"/>
      </w:pPr>
      <w:r>
        <w:t>Finanční nároky řešení a možnosti finančního krytí</w:t>
      </w:r>
    </w:p>
    <w:p w:rsidR="00C24E77" w:rsidRDefault="00C24E77" w:rsidP="00C24E77">
      <w:pPr>
        <w:pStyle w:val="vlevo"/>
      </w:pPr>
      <w:r>
        <w:t xml:space="preserve">Náklady spojené s realizací darovacích smluv, tj. s vyhotovením znaleckého posudku a vkladu do katastru nemovitostí, budou hrazeny z rozpočtu MAJ MMP. </w:t>
      </w:r>
    </w:p>
    <w:p w:rsidR="00C24E77" w:rsidRDefault="00C24E77" w:rsidP="00C24E77">
      <w:pPr>
        <w:pStyle w:val="vlevo"/>
      </w:pPr>
    </w:p>
    <w:p w:rsidR="00C24E77" w:rsidRDefault="00C24E77" w:rsidP="00C24E77">
      <w:pPr>
        <w:pStyle w:val="ostzahl"/>
      </w:pPr>
      <w:r>
        <w:t xml:space="preserve"> Návrh termínů realizace a určení zodpovědných pracovníků</w:t>
      </w:r>
    </w:p>
    <w:p w:rsidR="00C24E77" w:rsidRDefault="00C24E77" w:rsidP="00C24E77">
      <w:pPr>
        <w:pStyle w:val="vlevo"/>
      </w:pPr>
      <w:r>
        <w:t>Viz návrh usnesení.</w:t>
      </w:r>
    </w:p>
    <w:p w:rsidR="00C24E77" w:rsidRDefault="00C24E77" w:rsidP="00C24E77">
      <w:pPr>
        <w:pStyle w:val="vlevo"/>
      </w:pPr>
    </w:p>
    <w:p w:rsidR="00C24E77" w:rsidRDefault="00C24E77" w:rsidP="00C24E77">
      <w:pPr>
        <w:pStyle w:val="ostzahl"/>
      </w:pPr>
      <w:r>
        <w:t>Dříve přijatá usnesení orgánů města nebo městských obvodů, která s tímto návrhem souvisejí</w:t>
      </w:r>
    </w:p>
    <w:p w:rsidR="00C24E77" w:rsidRDefault="00C24E77" w:rsidP="00C24E77">
      <w:pPr>
        <w:pStyle w:val="vlevo"/>
      </w:pPr>
      <w:r>
        <w:t xml:space="preserve">    - usnesení Komise RMO Plzeň 1 ze dne 5. 12. 2016 (směna).</w:t>
      </w:r>
    </w:p>
    <w:p w:rsidR="00C24E77" w:rsidRDefault="00C24E77" w:rsidP="00C24E77">
      <w:pPr>
        <w:pStyle w:val="vlevo"/>
      </w:pPr>
      <w:r>
        <w:t xml:space="preserve">    - doporučení KNM RMP ze dne 10. 4. 2018 </w:t>
      </w:r>
    </w:p>
    <w:p w:rsidR="00C24E77" w:rsidRDefault="00C24E77" w:rsidP="00C24E77">
      <w:pPr>
        <w:pStyle w:val="vlevo"/>
      </w:pPr>
      <w:bookmarkStart w:id="0" w:name="_GoBack"/>
      <w:bookmarkEnd w:id="0"/>
    </w:p>
    <w:p w:rsidR="00C24E77" w:rsidRDefault="00C24E77" w:rsidP="00C24E77">
      <w:pPr>
        <w:pStyle w:val="ostzahl"/>
      </w:pPr>
      <w:r>
        <w:t>Závazky či pohledávky vůči městu Plzni</w:t>
      </w:r>
    </w:p>
    <w:p w:rsidR="00C24E77" w:rsidRDefault="00C24E77" w:rsidP="00C24E77">
      <w:pPr>
        <w:pStyle w:val="vlevo"/>
      </w:pPr>
      <w:r>
        <w:t>K datu 4. 4. 2018 nemají obě společnosti evidovány žádné pohledávky po splatnosti vůči městu.</w:t>
      </w:r>
    </w:p>
    <w:p w:rsidR="00C24E77" w:rsidRDefault="00C24E77" w:rsidP="00C24E77">
      <w:pPr>
        <w:pStyle w:val="vlevo"/>
      </w:pPr>
    </w:p>
    <w:p w:rsidR="00C24E77" w:rsidRDefault="00C24E77" w:rsidP="00C24E77">
      <w:pPr>
        <w:rPr>
          <w:rStyle w:val="ostzahlChar"/>
        </w:rPr>
      </w:pPr>
      <w:r>
        <w:rPr>
          <w:rStyle w:val="ostzahlChar"/>
        </w:rPr>
        <w:t>10.  Přílohy</w:t>
      </w:r>
    </w:p>
    <w:p w:rsidR="00C24E77" w:rsidRDefault="00C24E77" w:rsidP="00C24E77">
      <w:pPr>
        <w:jc w:val="both"/>
        <w:rPr>
          <w:szCs w:val="24"/>
        </w:rPr>
      </w:pPr>
      <w:r>
        <w:rPr>
          <w:sz w:val="24"/>
          <w:szCs w:val="24"/>
        </w:rPr>
        <w:t xml:space="preserve">Příloha č. 1 - požadavek MO Plzeň 1 na směnu včetně souvisejících příloh.  </w:t>
      </w:r>
    </w:p>
    <w:p w:rsidR="00C24E77" w:rsidRDefault="00C24E77" w:rsidP="00C24E77">
      <w:pPr>
        <w:jc w:val="both"/>
        <w:rPr>
          <w:sz w:val="24"/>
          <w:szCs w:val="24"/>
        </w:rPr>
      </w:pPr>
      <w:r>
        <w:rPr>
          <w:sz w:val="24"/>
          <w:szCs w:val="24"/>
        </w:rPr>
        <w:t>Příloha č. 2 - stanoviska TÚ MMP.</w:t>
      </w:r>
    </w:p>
    <w:p w:rsidR="00C24E77" w:rsidRDefault="00C24E77" w:rsidP="00C24E77">
      <w:pPr>
        <w:jc w:val="both"/>
        <w:rPr>
          <w:sz w:val="24"/>
          <w:szCs w:val="24"/>
        </w:rPr>
      </w:pPr>
      <w:r>
        <w:rPr>
          <w:sz w:val="24"/>
          <w:szCs w:val="24"/>
        </w:rPr>
        <w:t>Příloha č. 3 - dříve vydané vyjádření MO-1 (směna)</w:t>
      </w:r>
    </w:p>
    <w:p w:rsidR="00C24E77" w:rsidRDefault="00C24E77" w:rsidP="00C24E77">
      <w:pPr>
        <w:jc w:val="both"/>
        <w:rPr>
          <w:sz w:val="24"/>
          <w:szCs w:val="24"/>
        </w:rPr>
      </w:pPr>
      <w:r>
        <w:rPr>
          <w:sz w:val="24"/>
          <w:szCs w:val="24"/>
        </w:rPr>
        <w:t>Příloha č. 4 - rozsah veřejného prostranství dle územní studie.</w:t>
      </w:r>
    </w:p>
    <w:p w:rsidR="00C24E77" w:rsidRDefault="00C24E77" w:rsidP="00C24E77">
      <w:pPr>
        <w:jc w:val="both"/>
        <w:rPr>
          <w:sz w:val="24"/>
          <w:szCs w:val="24"/>
        </w:rPr>
      </w:pPr>
      <w:r>
        <w:rPr>
          <w:sz w:val="24"/>
          <w:szCs w:val="24"/>
        </w:rPr>
        <w:lastRenderedPageBreak/>
        <w:t>Příloha č. 5 - vyjádření obou subjektů vč. návrhu na vzájemné darování pozemků.</w:t>
      </w:r>
    </w:p>
    <w:p w:rsidR="00C24E77" w:rsidRDefault="00C24E77" w:rsidP="00C24E77">
      <w:pPr>
        <w:jc w:val="both"/>
        <w:rPr>
          <w:sz w:val="24"/>
          <w:szCs w:val="24"/>
        </w:rPr>
      </w:pPr>
      <w:r>
        <w:rPr>
          <w:sz w:val="24"/>
          <w:szCs w:val="24"/>
        </w:rPr>
        <w:t xml:space="preserve">Příloha č. 6 - vývoj případu. </w:t>
      </w:r>
    </w:p>
    <w:p w:rsidR="00C24E77" w:rsidRDefault="00C24E77" w:rsidP="00C24E77">
      <w:pPr>
        <w:jc w:val="both"/>
        <w:rPr>
          <w:sz w:val="24"/>
          <w:szCs w:val="24"/>
        </w:rPr>
      </w:pPr>
      <w:r>
        <w:rPr>
          <w:sz w:val="24"/>
          <w:szCs w:val="24"/>
        </w:rPr>
        <w:t>Příloha č. 7 - fotodokumentace.</w:t>
      </w:r>
    </w:p>
    <w:p w:rsidR="00C24E77" w:rsidRDefault="00C24E77" w:rsidP="00C24E77">
      <w:pPr>
        <w:ind w:left="1418" w:hanging="1418"/>
        <w:jc w:val="both"/>
        <w:rPr>
          <w:sz w:val="24"/>
          <w:szCs w:val="24"/>
        </w:rPr>
      </w:pPr>
      <w:r>
        <w:rPr>
          <w:sz w:val="24"/>
          <w:szCs w:val="24"/>
        </w:rPr>
        <w:t>Příloha č. 8 - snímky z KM – modrá mapa se zákresem, ÚP, letecký snímek, mapa Plzně</w:t>
      </w:r>
    </w:p>
    <w:p w:rsidR="00C24E77" w:rsidRDefault="00C24E77" w:rsidP="00C24E77">
      <w:pPr>
        <w:ind w:left="1418" w:hanging="1418"/>
        <w:jc w:val="both"/>
        <w:rPr>
          <w:sz w:val="24"/>
          <w:szCs w:val="24"/>
        </w:rPr>
      </w:pPr>
      <w:r>
        <w:rPr>
          <w:sz w:val="24"/>
          <w:szCs w:val="24"/>
        </w:rPr>
        <w:t xml:space="preserve">Příloha č. 9 - geometrický plán </w:t>
      </w:r>
    </w:p>
    <w:p w:rsidR="00C24E77" w:rsidRDefault="00C24E77" w:rsidP="00C24E77">
      <w:pPr>
        <w:ind w:left="1418" w:hanging="1418"/>
        <w:jc w:val="both"/>
        <w:rPr>
          <w:sz w:val="24"/>
          <w:szCs w:val="24"/>
        </w:rPr>
      </w:pPr>
      <w:r>
        <w:rPr>
          <w:sz w:val="24"/>
          <w:szCs w:val="24"/>
        </w:rPr>
        <w:t>Příloha č. 10 - doporučení KNM RMP ze dne 10. 4. 2018</w:t>
      </w:r>
    </w:p>
    <w:p w:rsidR="008B02F6" w:rsidRDefault="008B02F6" w:rsidP="00C24E77">
      <w:pPr>
        <w:jc w:val="both"/>
        <w:rPr>
          <w:sz w:val="24"/>
          <w:szCs w:val="24"/>
        </w:rPr>
      </w:pPr>
    </w:p>
    <w:p w:rsidR="008B02F6" w:rsidRDefault="008B02F6" w:rsidP="00C24E77">
      <w:pPr>
        <w:jc w:val="both"/>
        <w:rPr>
          <w:sz w:val="24"/>
          <w:szCs w:val="24"/>
        </w:rPr>
      </w:pPr>
      <w:r>
        <w:rPr>
          <w:sz w:val="24"/>
          <w:szCs w:val="24"/>
        </w:rPr>
        <w:t>Přílohy k dispozici u předkladatele: výpisy z KN, výpisy z OR</w:t>
      </w:r>
    </w:p>
    <w:p w:rsidR="00C24E77" w:rsidRDefault="00C24E77" w:rsidP="00C24E77"/>
    <w:p w:rsidR="00661221" w:rsidRDefault="00661221"/>
    <w:sectPr w:rsidR="006612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FD" w:rsidRDefault="008B02F6">
      <w:r>
        <w:separator/>
      </w:r>
    </w:p>
  </w:endnote>
  <w:endnote w:type="continuationSeparator" w:id="0">
    <w:p w:rsidR="00512EFD" w:rsidRDefault="008B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1"/>
      </w:rPr>
      <w:id w:val="-741029029"/>
      <w:docPartObj>
        <w:docPartGallery w:val="Page Numbers (Bottom of Page)"/>
        <w:docPartUnique/>
      </w:docPartObj>
    </w:sdtPr>
    <w:sdtEndPr>
      <w:rPr>
        <w:rFonts w:ascii="Times New Roman" w:eastAsiaTheme="majorEastAsia" w:hAnsi="Times New Roman" w:cs="Times New Roman"/>
        <w:sz w:val="16"/>
        <w:szCs w:val="16"/>
      </w:rPr>
    </w:sdtEndPr>
    <w:sdtContent>
      <w:p w:rsidR="007B0F67" w:rsidRPr="007B0F67" w:rsidRDefault="00C24E77">
        <w:pPr>
          <w:pStyle w:val="Zpat"/>
          <w:jc w:val="center"/>
          <w:rPr>
            <w:rFonts w:eastAsiaTheme="majorEastAsia"/>
            <w:sz w:val="16"/>
            <w:szCs w:val="16"/>
          </w:rPr>
        </w:pPr>
        <w:r w:rsidRPr="007B0F67">
          <w:rPr>
            <w:rFonts w:eastAsiaTheme="minorEastAsia"/>
            <w:sz w:val="16"/>
            <w:szCs w:val="16"/>
          </w:rPr>
          <w:fldChar w:fldCharType="begin"/>
        </w:r>
        <w:r w:rsidRPr="007B0F67">
          <w:rPr>
            <w:sz w:val="16"/>
            <w:szCs w:val="16"/>
          </w:rPr>
          <w:instrText>PAGE   \* MERGEFORMAT</w:instrText>
        </w:r>
        <w:r w:rsidRPr="007B0F67">
          <w:rPr>
            <w:rFonts w:eastAsiaTheme="minorEastAsia"/>
            <w:sz w:val="16"/>
            <w:szCs w:val="16"/>
          </w:rPr>
          <w:fldChar w:fldCharType="separate"/>
        </w:r>
        <w:r w:rsidR="002D2953" w:rsidRPr="002D2953">
          <w:rPr>
            <w:rFonts w:eastAsiaTheme="majorEastAsia"/>
            <w:noProof/>
            <w:sz w:val="16"/>
            <w:szCs w:val="16"/>
          </w:rPr>
          <w:t>6</w:t>
        </w:r>
        <w:r w:rsidRPr="007B0F67">
          <w:rPr>
            <w:rFonts w:eastAsiaTheme="majorEastAsia"/>
            <w:sz w:val="16"/>
            <w:szCs w:val="16"/>
          </w:rPr>
          <w:fldChar w:fldCharType="end"/>
        </w:r>
      </w:p>
    </w:sdtContent>
  </w:sdt>
  <w:p w:rsidR="007B0F67" w:rsidRDefault="002D29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FD" w:rsidRDefault="008B02F6">
      <w:r>
        <w:separator/>
      </w:r>
    </w:p>
  </w:footnote>
  <w:footnote w:type="continuationSeparator" w:id="0">
    <w:p w:rsidR="00512EFD" w:rsidRDefault="008B0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A9C"/>
    <w:multiLevelType w:val="hybridMultilevel"/>
    <w:tmpl w:val="0F8A884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5B7A2FD4"/>
    <w:multiLevelType w:val="singleLevel"/>
    <w:tmpl w:val="BC22000C"/>
    <w:lvl w:ilvl="0">
      <w:start w:val="1"/>
      <w:numFmt w:val="decimal"/>
      <w:pStyle w:val="ostzahl"/>
      <w:lvlText w:val="%1."/>
      <w:lvlJc w:val="left"/>
      <w:pPr>
        <w:tabs>
          <w:tab w:val="num" w:pos="360"/>
        </w:tabs>
        <w:ind w:left="357" w:hanging="357"/>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77"/>
    <w:rsid w:val="002D2953"/>
    <w:rsid w:val="00512EFD"/>
    <w:rsid w:val="005B73AE"/>
    <w:rsid w:val="00661221"/>
    <w:rsid w:val="008B02F6"/>
    <w:rsid w:val="00C24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7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24E77"/>
    <w:pPr>
      <w:keepNext/>
      <w:ind w:firstLine="720"/>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C24E77"/>
    <w:rPr>
      <w:rFonts w:ascii="Times New Roman" w:eastAsia="Times New Roman" w:hAnsi="Times New Roman" w:cs="Times New Roman"/>
      <w:b/>
      <w:sz w:val="32"/>
      <w:szCs w:val="20"/>
      <w:lang w:eastAsia="cs-CZ"/>
    </w:rPr>
  </w:style>
  <w:style w:type="paragraph" w:styleId="Odstavecseseznamem">
    <w:name w:val="List Paragraph"/>
    <w:basedOn w:val="Normln"/>
    <w:uiPriority w:val="34"/>
    <w:qFormat/>
    <w:rsid w:val="00C24E77"/>
    <w:pPr>
      <w:ind w:left="720"/>
      <w:contextualSpacing/>
    </w:pPr>
  </w:style>
  <w:style w:type="character" w:customStyle="1" w:styleId="vlevoChar">
    <w:name w:val="vlevo Char"/>
    <w:basedOn w:val="Standardnpsmoodstavce"/>
    <w:link w:val="vlevo"/>
    <w:locked/>
    <w:rsid w:val="00C24E77"/>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C24E77"/>
    <w:pPr>
      <w:jc w:val="both"/>
    </w:pPr>
    <w:rPr>
      <w:sz w:val="24"/>
    </w:rPr>
  </w:style>
  <w:style w:type="character" w:customStyle="1" w:styleId="ostzahlChar">
    <w:name w:val="ostzahl Char"/>
    <w:basedOn w:val="Standardnpsmoodstavce"/>
    <w:link w:val="ostzahl"/>
    <w:locked/>
    <w:rsid w:val="00C24E77"/>
    <w:rPr>
      <w:rFonts w:ascii="Times New Roman" w:eastAsia="Times New Roman" w:hAnsi="Times New Roman" w:cs="Times New Roman"/>
      <w:b/>
      <w:spacing w:val="22"/>
      <w:sz w:val="24"/>
      <w:szCs w:val="20"/>
      <w:lang w:eastAsia="cs-CZ"/>
    </w:rPr>
  </w:style>
  <w:style w:type="paragraph" w:customStyle="1" w:styleId="ostzahl">
    <w:name w:val="ostzahl"/>
    <w:basedOn w:val="Normln"/>
    <w:next w:val="vlevo"/>
    <w:link w:val="ostzahlChar"/>
    <w:autoRedefine/>
    <w:rsid w:val="00C24E77"/>
    <w:pPr>
      <w:numPr>
        <w:numId w:val="1"/>
      </w:numPr>
      <w:spacing w:before="120" w:after="120"/>
    </w:pPr>
    <w:rPr>
      <w:b/>
      <w:spacing w:val="22"/>
      <w:sz w:val="24"/>
    </w:rPr>
  </w:style>
  <w:style w:type="paragraph" w:styleId="Prosttext">
    <w:name w:val="Plain Text"/>
    <w:basedOn w:val="Normln"/>
    <w:link w:val="ProsttextChar"/>
    <w:uiPriority w:val="99"/>
    <w:unhideWhenUsed/>
    <w:rsid w:val="00C24E77"/>
    <w:rPr>
      <w:rFonts w:ascii="Arial" w:eastAsiaTheme="minorHAnsi" w:hAnsi="Arial" w:cstheme="minorBidi"/>
      <w:sz w:val="22"/>
      <w:szCs w:val="21"/>
      <w:lang w:eastAsia="en-US"/>
    </w:rPr>
  </w:style>
  <w:style w:type="character" w:customStyle="1" w:styleId="ProsttextChar">
    <w:name w:val="Prostý text Char"/>
    <w:basedOn w:val="Standardnpsmoodstavce"/>
    <w:link w:val="Prosttext"/>
    <w:uiPriority w:val="99"/>
    <w:rsid w:val="00C24E77"/>
    <w:rPr>
      <w:rFonts w:ascii="Arial" w:hAnsi="Arial"/>
      <w:szCs w:val="21"/>
    </w:rPr>
  </w:style>
  <w:style w:type="table" w:styleId="Mkatabulky">
    <w:name w:val="Table Grid"/>
    <w:basedOn w:val="Normlntabulka"/>
    <w:uiPriority w:val="59"/>
    <w:rsid w:val="00C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C24E77"/>
    <w:pPr>
      <w:tabs>
        <w:tab w:val="center" w:pos="4536"/>
        <w:tab w:val="right" w:pos="9072"/>
      </w:tabs>
    </w:pPr>
  </w:style>
  <w:style w:type="character" w:customStyle="1" w:styleId="ZpatChar">
    <w:name w:val="Zápatí Char"/>
    <w:basedOn w:val="Standardnpsmoodstavce"/>
    <w:link w:val="Zpat"/>
    <w:uiPriority w:val="99"/>
    <w:rsid w:val="00C24E7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B02F6"/>
    <w:rPr>
      <w:rFonts w:ascii="Tahoma" w:hAnsi="Tahoma" w:cs="Tahoma"/>
      <w:sz w:val="16"/>
      <w:szCs w:val="16"/>
    </w:rPr>
  </w:style>
  <w:style w:type="character" w:customStyle="1" w:styleId="TextbublinyChar">
    <w:name w:val="Text bubliny Char"/>
    <w:basedOn w:val="Standardnpsmoodstavce"/>
    <w:link w:val="Textbubliny"/>
    <w:uiPriority w:val="99"/>
    <w:semiHidden/>
    <w:rsid w:val="008B02F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7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24E77"/>
    <w:pPr>
      <w:keepNext/>
      <w:ind w:firstLine="720"/>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C24E77"/>
    <w:rPr>
      <w:rFonts w:ascii="Times New Roman" w:eastAsia="Times New Roman" w:hAnsi="Times New Roman" w:cs="Times New Roman"/>
      <w:b/>
      <w:sz w:val="32"/>
      <w:szCs w:val="20"/>
      <w:lang w:eastAsia="cs-CZ"/>
    </w:rPr>
  </w:style>
  <w:style w:type="paragraph" w:styleId="Odstavecseseznamem">
    <w:name w:val="List Paragraph"/>
    <w:basedOn w:val="Normln"/>
    <w:uiPriority w:val="34"/>
    <w:qFormat/>
    <w:rsid w:val="00C24E77"/>
    <w:pPr>
      <w:ind w:left="720"/>
      <w:contextualSpacing/>
    </w:pPr>
  </w:style>
  <w:style w:type="character" w:customStyle="1" w:styleId="vlevoChar">
    <w:name w:val="vlevo Char"/>
    <w:basedOn w:val="Standardnpsmoodstavce"/>
    <w:link w:val="vlevo"/>
    <w:locked/>
    <w:rsid w:val="00C24E77"/>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C24E77"/>
    <w:pPr>
      <w:jc w:val="both"/>
    </w:pPr>
    <w:rPr>
      <w:sz w:val="24"/>
    </w:rPr>
  </w:style>
  <w:style w:type="character" w:customStyle="1" w:styleId="ostzahlChar">
    <w:name w:val="ostzahl Char"/>
    <w:basedOn w:val="Standardnpsmoodstavce"/>
    <w:link w:val="ostzahl"/>
    <w:locked/>
    <w:rsid w:val="00C24E77"/>
    <w:rPr>
      <w:rFonts w:ascii="Times New Roman" w:eastAsia="Times New Roman" w:hAnsi="Times New Roman" w:cs="Times New Roman"/>
      <w:b/>
      <w:spacing w:val="22"/>
      <w:sz w:val="24"/>
      <w:szCs w:val="20"/>
      <w:lang w:eastAsia="cs-CZ"/>
    </w:rPr>
  </w:style>
  <w:style w:type="paragraph" w:customStyle="1" w:styleId="ostzahl">
    <w:name w:val="ostzahl"/>
    <w:basedOn w:val="Normln"/>
    <w:next w:val="vlevo"/>
    <w:link w:val="ostzahlChar"/>
    <w:autoRedefine/>
    <w:rsid w:val="00C24E77"/>
    <w:pPr>
      <w:numPr>
        <w:numId w:val="1"/>
      </w:numPr>
      <w:spacing w:before="120" w:after="120"/>
    </w:pPr>
    <w:rPr>
      <w:b/>
      <w:spacing w:val="22"/>
      <w:sz w:val="24"/>
    </w:rPr>
  </w:style>
  <w:style w:type="paragraph" w:styleId="Prosttext">
    <w:name w:val="Plain Text"/>
    <w:basedOn w:val="Normln"/>
    <w:link w:val="ProsttextChar"/>
    <w:uiPriority w:val="99"/>
    <w:unhideWhenUsed/>
    <w:rsid w:val="00C24E77"/>
    <w:rPr>
      <w:rFonts w:ascii="Arial" w:eastAsiaTheme="minorHAnsi" w:hAnsi="Arial" w:cstheme="minorBidi"/>
      <w:sz w:val="22"/>
      <w:szCs w:val="21"/>
      <w:lang w:eastAsia="en-US"/>
    </w:rPr>
  </w:style>
  <w:style w:type="character" w:customStyle="1" w:styleId="ProsttextChar">
    <w:name w:val="Prostý text Char"/>
    <w:basedOn w:val="Standardnpsmoodstavce"/>
    <w:link w:val="Prosttext"/>
    <w:uiPriority w:val="99"/>
    <w:rsid w:val="00C24E77"/>
    <w:rPr>
      <w:rFonts w:ascii="Arial" w:hAnsi="Arial"/>
      <w:szCs w:val="21"/>
    </w:rPr>
  </w:style>
  <w:style w:type="table" w:styleId="Mkatabulky">
    <w:name w:val="Table Grid"/>
    <w:basedOn w:val="Normlntabulka"/>
    <w:uiPriority w:val="59"/>
    <w:rsid w:val="00C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C24E77"/>
    <w:pPr>
      <w:tabs>
        <w:tab w:val="center" w:pos="4536"/>
        <w:tab w:val="right" w:pos="9072"/>
      </w:tabs>
    </w:pPr>
  </w:style>
  <w:style w:type="character" w:customStyle="1" w:styleId="ZpatChar">
    <w:name w:val="Zápatí Char"/>
    <w:basedOn w:val="Standardnpsmoodstavce"/>
    <w:link w:val="Zpat"/>
    <w:uiPriority w:val="99"/>
    <w:rsid w:val="00C24E7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B02F6"/>
    <w:rPr>
      <w:rFonts w:ascii="Tahoma" w:hAnsi="Tahoma" w:cs="Tahoma"/>
      <w:sz w:val="16"/>
      <w:szCs w:val="16"/>
    </w:rPr>
  </w:style>
  <w:style w:type="character" w:customStyle="1" w:styleId="TextbublinyChar">
    <w:name w:val="Text bubliny Char"/>
    <w:basedOn w:val="Standardnpsmoodstavce"/>
    <w:link w:val="Textbubliny"/>
    <w:uiPriority w:val="99"/>
    <w:semiHidden/>
    <w:rsid w:val="008B02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3160</Words>
  <Characters>18649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Trachtová Markéta</dc:creator>
  <cp:lastModifiedBy>Trachtová Markéta</cp:lastModifiedBy>
  <cp:revision>4</cp:revision>
  <cp:lastPrinted>2018-06-06T13:18:00Z</cp:lastPrinted>
  <dcterms:created xsi:type="dcterms:W3CDTF">2018-05-07T11:52:00Z</dcterms:created>
  <dcterms:modified xsi:type="dcterms:W3CDTF">2018-06-11T10:54:00Z</dcterms:modified>
</cp:coreProperties>
</file>