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AC" w:rsidRPr="00617306" w:rsidRDefault="0015352B" w:rsidP="00740989">
      <w:pPr>
        <w:pStyle w:val="nadpcent"/>
      </w:pPr>
      <w:r w:rsidRPr="00617306">
        <w:t>Důvodová zpráva</w:t>
      </w:r>
    </w:p>
    <w:p w:rsidR="00DD65AC" w:rsidRPr="00617306" w:rsidRDefault="0015352B" w:rsidP="000B7BE7">
      <w:pPr>
        <w:pStyle w:val="ostzahl"/>
      </w:pPr>
      <w:r w:rsidRPr="00617306">
        <w:t>Název problému a jeho charakteristika</w:t>
      </w:r>
    </w:p>
    <w:p w:rsidR="00793AF4" w:rsidRPr="00617306" w:rsidRDefault="00676873" w:rsidP="00A311AF">
      <w:pPr>
        <w:pStyle w:val="Paragrafneslovan"/>
      </w:pPr>
      <w:r>
        <w:t xml:space="preserve">Zvýšení </w:t>
      </w:r>
      <w:r w:rsidR="001175C7">
        <w:t xml:space="preserve">individuální </w:t>
      </w:r>
      <w:r w:rsidR="00793AF4" w:rsidRPr="00617306">
        <w:t>dotac</w:t>
      </w:r>
      <w:r w:rsidR="001175C7">
        <w:t>e</w:t>
      </w:r>
      <w:r w:rsidR="00793AF4" w:rsidRPr="00617306">
        <w:t xml:space="preserve"> </w:t>
      </w:r>
      <w:r w:rsidR="001175C7">
        <w:t>p</w:t>
      </w:r>
      <w:r w:rsidR="001175C7" w:rsidRPr="00617306">
        <w:t>oskytnut</w:t>
      </w:r>
      <w:r w:rsidR="001175C7">
        <w:t>é</w:t>
      </w:r>
      <w:r w:rsidR="001175C7" w:rsidRPr="00617306">
        <w:t xml:space="preserve"> pro rok 2019</w:t>
      </w:r>
      <w:r w:rsidR="001175C7">
        <w:t xml:space="preserve"> subjektu </w:t>
      </w:r>
      <w:r w:rsidR="00793AF4" w:rsidRPr="00617306">
        <w:t>Plzeň 2015, z</w:t>
      </w:r>
      <w:r w:rsidR="00F20441" w:rsidRPr="00617306">
        <w:t>apsaný</w:t>
      </w:r>
      <w:r w:rsidR="00793AF4" w:rsidRPr="00617306">
        <w:t xml:space="preserve"> ú</w:t>
      </w:r>
      <w:r w:rsidR="00F20441" w:rsidRPr="00617306">
        <w:t>stav</w:t>
      </w:r>
      <w:r w:rsidR="005A6814" w:rsidRPr="00617306">
        <w:t xml:space="preserve"> (dále také jen „P2015</w:t>
      </w:r>
      <w:r w:rsidR="0085056C">
        <w:t>“ nebo „subjekt“</w:t>
      </w:r>
      <w:r w:rsidR="001175C7">
        <w:t xml:space="preserve">), </w:t>
      </w:r>
      <w:r w:rsidR="00162A79">
        <w:t xml:space="preserve">ve výši 12,6 mil. Kč, </w:t>
      </w:r>
      <w:r w:rsidR="001175C7">
        <w:t xml:space="preserve">a to </w:t>
      </w:r>
      <w:r w:rsidR="00162A79">
        <w:t>usnesením ZMP č. 497 ze dne 13. </w:t>
      </w:r>
      <w:r w:rsidR="001175C7">
        <w:t>12. 2018</w:t>
      </w:r>
      <w:r w:rsidR="00162A79">
        <w:t>,</w:t>
      </w:r>
      <w:r w:rsidR="001175C7">
        <w:t xml:space="preserve"> </w:t>
      </w:r>
      <w:r w:rsidR="00937C0C">
        <w:t>o částku 2 mil. Kč</w:t>
      </w:r>
      <w:r w:rsidR="00162A79">
        <w:t>, nově tedy na 14,6 mil. Kč</w:t>
      </w:r>
    </w:p>
    <w:p w:rsidR="00DD65AC" w:rsidRPr="00617306" w:rsidRDefault="0015352B" w:rsidP="000B7BE7">
      <w:pPr>
        <w:pStyle w:val="ostzahl"/>
      </w:pPr>
      <w:r w:rsidRPr="00617306">
        <w:t>Konstatování současného stavu a jeho analýza</w:t>
      </w:r>
    </w:p>
    <w:p w:rsidR="0085056C" w:rsidRPr="000B7BE7" w:rsidRDefault="0085056C" w:rsidP="000B7BE7">
      <w:pPr>
        <w:pStyle w:val="ostzahl"/>
        <w:numPr>
          <w:ilvl w:val="0"/>
          <w:numId w:val="0"/>
        </w:numPr>
        <w:rPr>
          <w:b w:val="0"/>
          <w:spacing w:val="0"/>
        </w:rPr>
      </w:pPr>
      <w:r w:rsidRPr="000B7BE7">
        <w:rPr>
          <w:b w:val="0"/>
          <w:spacing w:val="0"/>
        </w:rPr>
        <w:t xml:space="preserve">Společnost Plzeň 2015, o. p. s. (IČO 29109124), byla založena statutárním městem Plzeň na základě usnesení Zastupitelstva města Plzně č. 398 ze dne 16. 9. 2010. Na základě rozhodnutí správní rady P2015 a na základě notářského zápisu ze dne 23. 11. 2015 došlo ke změně právní formy subjektu z obecně prospěšné společnosti na zapsaný ústav. </w:t>
      </w:r>
    </w:p>
    <w:p w:rsidR="0085056C" w:rsidRPr="00617306" w:rsidRDefault="0085056C" w:rsidP="008736B0">
      <w:pPr>
        <w:pStyle w:val="vlevo"/>
      </w:pPr>
      <w:r w:rsidRPr="00617306">
        <w:t xml:space="preserve">Společnost provozuje rekonstruovaný areál DEPO2015, který </w:t>
      </w:r>
      <w:r w:rsidR="003C56A0">
        <w:t>zajišťuje trvalou udržitelnost projektu Plzeň-Evropské hlavní město kultury 2015</w:t>
      </w:r>
      <w:r w:rsidRPr="00617306">
        <w:t>.</w:t>
      </w:r>
    </w:p>
    <w:p w:rsidR="0085056C" w:rsidRPr="000B7BE7" w:rsidRDefault="003C56A0" w:rsidP="000B7BE7">
      <w:pPr>
        <w:pStyle w:val="ostzahl"/>
        <w:numPr>
          <w:ilvl w:val="0"/>
          <w:numId w:val="0"/>
        </w:numPr>
        <w:rPr>
          <w:b w:val="0"/>
          <w:spacing w:val="0"/>
        </w:rPr>
      </w:pPr>
      <w:r>
        <w:rPr>
          <w:b w:val="0"/>
          <w:spacing w:val="0"/>
        </w:rPr>
        <w:t>Činnost společnosti je</w:t>
      </w:r>
      <w:r w:rsidR="0085056C" w:rsidRPr="000B7BE7">
        <w:rPr>
          <w:b w:val="0"/>
          <w:spacing w:val="0"/>
        </w:rPr>
        <w:t xml:space="preserve"> od roku 2010 financována ze strany města Plzně prostřednictvím dotací, zejména z rozpočtu O</w:t>
      </w:r>
      <w:r w:rsidR="00162A79">
        <w:rPr>
          <w:b w:val="0"/>
          <w:spacing w:val="0"/>
        </w:rPr>
        <w:t>dboru kultury</w:t>
      </w:r>
      <w:r w:rsidR="0085056C" w:rsidRPr="000B7BE7">
        <w:rPr>
          <w:b w:val="0"/>
          <w:spacing w:val="0"/>
        </w:rPr>
        <w:t xml:space="preserve"> MMP</w:t>
      </w:r>
      <w:r w:rsidR="00162A79">
        <w:rPr>
          <w:b w:val="0"/>
          <w:spacing w:val="0"/>
        </w:rPr>
        <w:t xml:space="preserve"> (dále jen OK MMP)</w:t>
      </w:r>
      <w:r w:rsidR="0085056C" w:rsidRPr="000B7BE7">
        <w:rPr>
          <w:b w:val="0"/>
          <w:spacing w:val="0"/>
        </w:rPr>
        <w:t>.</w:t>
      </w:r>
    </w:p>
    <w:p w:rsidR="00516D67" w:rsidRPr="000B7BE7" w:rsidRDefault="00937C0C" w:rsidP="000B7BE7">
      <w:pPr>
        <w:pStyle w:val="ostzahl"/>
        <w:numPr>
          <w:ilvl w:val="0"/>
          <w:numId w:val="0"/>
        </w:numPr>
        <w:rPr>
          <w:b w:val="0"/>
          <w:spacing w:val="0"/>
        </w:rPr>
      </w:pPr>
      <w:r w:rsidRPr="000B7BE7">
        <w:rPr>
          <w:b w:val="0"/>
          <w:spacing w:val="0"/>
        </w:rPr>
        <w:t>Usnesením Zastupitelstva města Plzně č. 497 ze dne 13. 12. 2018 byla subjektu Plzeň 2015, zapsaný ústav</w:t>
      </w:r>
      <w:r w:rsidR="0085056C" w:rsidRPr="000B7BE7">
        <w:rPr>
          <w:b w:val="0"/>
          <w:spacing w:val="0"/>
        </w:rPr>
        <w:t xml:space="preserve"> (IČO 29109124), </w:t>
      </w:r>
      <w:r w:rsidR="003C56A0">
        <w:rPr>
          <w:b w:val="0"/>
          <w:spacing w:val="0"/>
        </w:rPr>
        <w:t xml:space="preserve">schválena </w:t>
      </w:r>
      <w:r w:rsidR="00516D67" w:rsidRPr="000B7BE7">
        <w:rPr>
          <w:b w:val="0"/>
          <w:spacing w:val="0"/>
        </w:rPr>
        <w:t>dotace ve výši 1</w:t>
      </w:r>
      <w:r w:rsidR="00F20441" w:rsidRPr="000B7BE7">
        <w:rPr>
          <w:b w:val="0"/>
          <w:spacing w:val="0"/>
        </w:rPr>
        <w:t>2,6</w:t>
      </w:r>
      <w:r w:rsidR="00516D67" w:rsidRPr="000B7BE7">
        <w:rPr>
          <w:b w:val="0"/>
          <w:spacing w:val="0"/>
        </w:rPr>
        <w:t xml:space="preserve"> mil. K</w:t>
      </w:r>
      <w:r w:rsidR="00DC1BC1" w:rsidRPr="000B7BE7">
        <w:rPr>
          <w:b w:val="0"/>
          <w:spacing w:val="0"/>
        </w:rPr>
        <w:t>č</w:t>
      </w:r>
      <w:r w:rsidR="0085056C" w:rsidRPr="000B7BE7">
        <w:rPr>
          <w:b w:val="0"/>
          <w:spacing w:val="0"/>
        </w:rPr>
        <w:t xml:space="preserve">, </w:t>
      </w:r>
      <w:r w:rsidR="005A6814" w:rsidRPr="000B7BE7">
        <w:rPr>
          <w:b w:val="0"/>
          <w:spacing w:val="0"/>
        </w:rPr>
        <w:t>účelově vázan</w:t>
      </w:r>
      <w:r w:rsidR="0085056C" w:rsidRPr="000B7BE7">
        <w:rPr>
          <w:b w:val="0"/>
          <w:spacing w:val="0"/>
        </w:rPr>
        <w:t>á</w:t>
      </w:r>
      <w:r w:rsidR="005A6814" w:rsidRPr="000B7BE7">
        <w:rPr>
          <w:b w:val="0"/>
          <w:spacing w:val="0"/>
        </w:rPr>
        <w:t xml:space="preserve"> na úhradu nezbytných nákladů </w:t>
      </w:r>
      <w:r w:rsidR="0085056C" w:rsidRPr="000B7BE7">
        <w:rPr>
          <w:b w:val="0"/>
          <w:spacing w:val="0"/>
        </w:rPr>
        <w:t>subjektu</w:t>
      </w:r>
      <w:r w:rsidR="005A6814" w:rsidRPr="000B7BE7">
        <w:rPr>
          <w:b w:val="0"/>
          <w:spacing w:val="0"/>
        </w:rPr>
        <w:t xml:space="preserve"> spojených se zajištěním </w:t>
      </w:r>
      <w:r w:rsidR="0085056C" w:rsidRPr="000B7BE7">
        <w:rPr>
          <w:b w:val="0"/>
          <w:spacing w:val="0"/>
        </w:rPr>
        <w:t>je</w:t>
      </w:r>
      <w:r w:rsidR="00374F92" w:rsidRPr="000B7BE7">
        <w:rPr>
          <w:b w:val="0"/>
          <w:spacing w:val="0"/>
        </w:rPr>
        <w:t xml:space="preserve">ho </w:t>
      </w:r>
      <w:r w:rsidR="005A6814" w:rsidRPr="000B7BE7">
        <w:rPr>
          <w:b w:val="0"/>
          <w:spacing w:val="0"/>
        </w:rPr>
        <w:t>pro</w:t>
      </w:r>
      <w:r w:rsidR="0085056C" w:rsidRPr="000B7BE7">
        <w:rPr>
          <w:b w:val="0"/>
          <w:spacing w:val="0"/>
        </w:rPr>
        <w:t>vozu a </w:t>
      </w:r>
      <w:r w:rsidR="00F20441" w:rsidRPr="000B7BE7">
        <w:rPr>
          <w:b w:val="0"/>
          <w:spacing w:val="0"/>
        </w:rPr>
        <w:t>s realizací kulturního a </w:t>
      </w:r>
      <w:r w:rsidR="005A6814" w:rsidRPr="000B7BE7">
        <w:rPr>
          <w:b w:val="0"/>
          <w:spacing w:val="0"/>
        </w:rPr>
        <w:t>uměleckého programu</w:t>
      </w:r>
      <w:r w:rsidR="0085056C" w:rsidRPr="000B7BE7">
        <w:rPr>
          <w:b w:val="0"/>
          <w:spacing w:val="0"/>
        </w:rPr>
        <w:t xml:space="preserve"> subjektem</w:t>
      </w:r>
      <w:r w:rsidR="00584873" w:rsidRPr="000B7BE7">
        <w:rPr>
          <w:b w:val="0"/>
          <w:spacing w:val="0"/>
        </w:rPr>
        <w:t xml:space="preserve"> pro </w:t>
      </w:r>
      <w:r w:rsidR="002A6DE5" w:rsidRPr="000B7BE7">
        <w:rPr>
          <w:b w:val="0"/>
          <w:spacing w:val="0"/>
        </w:rPr>
        <w:t>rok 201</w:t>
      </w:r>
      <w:r w:rsidR="00F20441" w:rsidRPr="000B7BE7">
        <w:rPr>
          <w:b w:val="0"/>
          <w:spacing w:val="0"/>
        </w:rPr>
        <w:t>9</w:t>
      </w:r>
      <w:r w:rsidR="00884713" w:rsidRPr="000B7BE7">
        <w:rPr>
          <w:b w:val="0"/>
          <w:spacing w:val="0"/>
        </w:rPr>
        <w:t>, a to</w:t>
      </w:r>
      <w:r w:rsidR="00EF5C50" w:rsidRPr="000B7BE7">
        <w:rPr>
          <w:b w:val="0"/>
          <w:spacing w:val="0"/>
        </w:rPr>
        <w:t xml:space="preserve"> v souladu se </w:t>
      </w:r>
      <w:r w:rsidR="005A6814" w:rsidRPr="000B7BE7">
        <w:rPr>
          <w:b w:val="0"/>
          <w:spacing w:val="0"/>
        </w:rPr>
        <w:t>žádostí</w:t>
      </w:r>
      <w:r w:rsidR="00F20441" w:rsidRPr="000B7BE7">
        <w:rPr>
          <w:b w:val="0"/>
          <w:spacing w:val="0"/>
        </w:rPr>
        <w:t xml:space="preserve"> o dotaci</w:t>
      </w:r>
      <w:r w:rsidR="005A6814" w:rsidRPr="000B7BE7">
        <w:rPr>
          <w:b w:val="0"/>
          <w:spacing w:val="0"/>
        </w:rPr>
        <w:t>.</w:t>
      </w:r>
      <w:r w:rsidR="0085056C" w:rsidRPr="000B7BE7">
        <w:rPr>
          <w:b w:val="0"/>
          <w:spacing w:val="0"/>
        </w:rPr>
        <w:t xml:space="preserve"> O poskytnutí této dotace byla mezi statutárním městem Plzeň a P2015 uzavřena smlouva č. 2018/007361.</w:t>
      </w:r>
    </w:p>
    <w:p w:rsidR="00BA654B" w:rsidRDefault="00F20441" w:rsidP="00A311AF">
      <w:pPr>
        <w:pStyle w:val="Paragrafneslovan"/>
      </w:pPr>
      <w:r w:rsidRPr="0085056C">
        <w:t>Ředitel P2015</w:t>
      </w:r>
      <w:r w:rsidR="00574593">
        <w:t>, Ing. Suchánek,</w:t>
      </w:r>
      <w:r w:rsidRPr="0085056C">
        <w:t xml:space="preserve"> se dne </w:t>
      </w:r>
      <w:r w:rsidR="00B6358D">
        <w:t>2</w:t>
      </w:r>
      <w:r w:rsidRPr="0085056C">
        <w:t>1</w:t>
      </w:r>
      <w:r w:rsidR="00374F92" w:rsidRPr="0085056C">
        <w:t xml:space="preserve">. </w:t>
      </w:r>
      <w:r w:rsidRPr="0085056C">
        <w:t>1</w:t>
      </w:r>
      <w:r w:rsidR="002A6DE5" w:rsidRPr="0085056C">
        <w:t>. 201</w:t>
      </w:r>
      <w:r w:rsidR="0085056C">
        <w:t xml:space="preserve">9 </w:t>
      </w:r>
      <w:r w:rsidR="00374F92" w:rsidRPr="0085056C">
        <w:t xml:space="preserve">dopisem č. j. </w:t>
      </w:r>
      <w:r w:rsidR="006E78B0" w:rsidRPr="006E78B0">
        <w:t xml:space="preserve">MMP/018801/19 </w:t>
      </w:r>
      <w:r w:rsidR="006E78B0">
        <w:t>obrátil na OK </w:t>
      </w:r>
      <w:r w:rsidR="00374F92" w:rsidRPr="0085056C">
        <w:t>MMP se žádostí o </w:t>
      </w:r>
      <w:r w:rsidR="0085056C">
        <w:t xml:space="preserve">zvýšení původní </w:t>
      </w:r>
      <w:r w:rsidR="00374F92" w:rsidRPr="0085056C">
        <w:t>dotace</w:t>
      </w:r>
      <w:r w:rsidR="0085056C">
        <w:t xml:space="preserve"> (schválené usnesením ZMP č. </w:t>
      </w:r>
      <w:r w:rsidR="00EF5C50">
        <w:t>497 ze dne 13. 12. </w:t>
      </w:r>
      <w:r w:rsidR="00BA654B">
        <w:t>2018)</w:t>
      </w:r>
      <w:r w:rsidR="0085056C">
        <w:t xml:space="preserve"> o 2 mil. Kč</w:t>
      </w:r>
      <w:r w:rsidR="00BA654B" w:rsidRPr="00617306">
        <w:t>,</w:t>
      </w:r>
      <w:r w:rsidR="00BA654B">
        <w:t xml:space="preserve"> a to v tomto účelovém určení:</w:t>
      </w:r>
    </w:p>
    <w:p w:rsidR="00BA654B" w:rsidRDefault="00C6197E" w:rsidP="00A311AF">
      <w:pPr>
        <w:pStyle w:val="Paragrafneslovan"/>
        <w:numPr>
          <w:ilvl w:val="0"/>
          <w:numId w:val="17"/>
        </w:numPr>
        <w:spacing w:before="0"/>
        <w:ind w:left="284" w:hanging="284"/>
      </w:pPr>
      <w:r>
        <w:t>1,25 mil. Kč</w:t>
      </w:r>
      <w:r w:rsidR="00374F92" w:rsidRPr="0085056C">
        <w:t xml:space="preserve"> </w:t>
      </w:r>
      <w:r w:rsidR="00BA654B">
        <w:t xml:space="preserve">neinvestiční dotace </w:t>
      </w:r>
      <w:r w:rsidR="00374F92" w:rsidRPr="0085056C">
        <w:t xml:space="preserve">na úhradu nezbytných </w:t>
      </w:r>
      <w:r w:rsidR="00BA654B">
        <w:t xml:space="preserve">neinvestičních </w:t>
      </w:r>
      <w:r w:rsidR="00374F92" w:rsidRPr="0085056C">
        <w:t>nákladů společnosti spojených se zajištěním jejího provozu a s realizací kulturního a uměleckého programu</w:t>
      </w:r>
      <w:r w:rsidR="008736B0">
        <w:t xml:space="preserve"> pro </w:t>
      </w:r>
      <w:r w:rsidR="002A6DE5" w:rsidRPr="0085056C">
        <w:t>rok 201</w:t>
      </w:r>
      <w:r w:rsidR="006C1FCF" w:rsidRPr="0085056C">
        <w:t>9</w:t>
      </w:r>
      <w:r w:rsidR="00374F92" w:rsidRPr="0085056C">
        <w:t xml:space="preserve">, </w:t>
      </w:r>
    </w:p>
    <w:p w:rsidR="00BA654B" w:rsidRDefault="00C6197E" w:rsidP="00A311AF">
      <w:pPr>
        <w:pStyle w:val="Paragrafneslovan"/>
        <w:numPr>
          <w:ilvl w:val="0"/>
          <w:numId w:val="17"/>
        </w:numPr>
        <w:spacing w:before="0"/>
        <w:ind w:left="284" w:hanging="284"/>
      </w:pPr>
      <w:r>
        <w:t>0,75 mil</w:t>
      </w:r>
      <w:r w:rsidR="003C56A0">
        <w:t>.</w:t>
      </w:r>
      <w:r>
        <w:t xml:space="preserve"> Kč</w:t>
      </w:r>
      <w:r w:rsidR="00BA654B">
        <w:t xml:space="preserve"> investiční dotace na nákup </w:t>
      </w:r>
      <w:r>
        <w:t>audio vybavení do majetku P2015.</w:t>
      </w:r>
    </w:p>
    <w:p w:rsidR="007B78B2" w:rsidRDefault="007B78B2" w:rsidP="007B78B2">
      <w:pPr>
        <w:jc w:val="both"/>
        <w:rPr>
          <w:szCs w:val="20"/>
        </w:rPr>
      </w:pPr>
    </w:p>
    <w:p w:rsidR="00CA1F71" w:rsidRDefault="00CA1F71" w:rsidP="00CA1F71">
      <w:pPr>
        <w:spacing w:after="120"/>
        <w:jc w:val="both"/>
        <w:rPr>
          <w:szCs w:val="20"/>
        </w:rPr>
      </w:pPr>
      <w:r w:rsidRPr="00CA1F71">
        <w:rPr>
          <w:szCs w:val="20"/>
        </w:rPr>
        <w:t>Žádost předložená Odboru kultury MMP je zpracována v souladu se zákonem č. 250/2000 </w:t>
      </w:r>
      <w:r>
        <w:rPr>
          <w:szCs w:val="20"/>
        </w:rPr>
        <w:t>Sb., o </w:t>
      </w:r>
      <w:r w:rsidRPr="00CA1F71">
        <w:rPr>
          <w:szCs w:val="20"/>
        </w:rPr>
        <w:t>rozpočtových pravidlech územních rozpočtů, v platném znění, byla zkontrolována, je úplná, obsahuje všechny požadované  informace a je uložena u předkladatele.</w:t>
      </w:r>
    </w:p>
    <w:p w:rsidR="00374F92" w:rsidRDefault="00BA654B" w:rsidP="00B31495">
      <w:pPr>
        <w:pStyle w:val="Paragrafneslovan"/>
        <w:spacing w:after="120"/>
      </w:pPr>
      <w:r>
        <w:t xml:space="preserve">Vzhledem k tomu, že P2015 již má uzavřenou smlouvu o poskytnutí dotace </w:t>
      </w:r>
      <w:r w:rsidR="00DD0D28">
        <w:t>na stejný účel, v případě poskytnutí předmětné dotace bude mezi statutárním městem Plzeň a P2015 uzavřen dodatek č. 1 k již platné smlouvě č. 2018/007361 o poskytnutí dotace.</w:t>
      </w:r>
    </w:p>
    <w:p w:rsidR="007B78B2" w:rsidRPr="00CA1F71" w:rsidRDefault="007B78B2" w:rsidP="00B31495">
      <w:pPr>
        <w:spacing w:after="120"/>
        <w:jc w:val="both"/>
        <w:rPr>
          <w:szCs w:val="20"/>
        </w:rPr>
      </w:pPr>
      <w:r>
        <w:rPr>
          <w:szCs w:val="20"/>
        </w:rPr>
        <w:t>Žádost byla projednána dne 2</w:t>
      </w:r>
      <w:r w:rsidR="00006DB3">
        <w:rPr>
          <w:szCs w:val="20"/>
        </w:rPr>
        <w:t>8</w:t>
      </w:r>
      <w:r>
        <w:rPr>
          <w:szCs w:val="20"/>
        </w:rPr>
        <w:t xml:space="preserve">. 1. 2019 v Komisi kultury </w:t>
      </w:r>
      <w:r w:rsidR="00006DB3">
        <w:rPr>
          <w:szCs w:val="20"/>
        </w:rPr>
        <w:t>R</w:t>
      </w:r>
      <w:r>
        <w:rPr>
          <w:szCs w:val="20"/>
        </w:rPr>
        <w:t>MP.</w:t>
      </w:r>
    </w:p>
    <w:p w:rsidR="005A6814" w:rsidRDefault="007943B6" w:rsidP="005A6814">
      <w:pPr>
        <w:jc w:val="both"/>
        <w:rPr>
          <w:rStyle w:val="Siln"/>
          <w:color w:val="000000"/>
        </w:rPr>
      </w:pPr>
      <w:r w:rsidRPr="00617306">
        <w:rPr>
          <w:rStyle w:val="Siln"/>
          <w:color w:val="000000"/>
        </w:rPr>
        <w:t xml:space="preserve">Subjekt </w:t>
      </w:r>
      <w:r w:rsidR="005A6814" w:rsidRPr="00617306">
        <w:rPr>
          <w:rStyle w:val="Siln"/>
          <w:color w:val="000000"/>
        </w:rPr>
        <w:t>P2015 čerpal z rozpočtu města Plzně v předešlých letech následující dotace:</w:t>
      </w:r>
    </w:p>
    <w:p w:rsidR="008C7880" w:rsidRPr="008C7880" w:rsidRDefault="008C7880" w:rsidP="005A6814">
      <w:pPr>
        <w:jc w:val="both"/>
        <w:rPr>
          <w:rStyle w:val="Siln"/>
          <w:bCs w:val="0"/>
          <w:color w:val="000000"/>
          <w:sz w:val="12"/>
        </w:rPr>
      </w:pPr>
    </w:p>
    <w:tbl>
      <w:tblPr>
        <w:tblW w:w="10196" w:type="dxa"/>
        <w:tblInd w:w="-487" w:type="dxa"/>
        <w:tblCellMar>
          <w:left w:w="70" w:type="dxa"/>
          <w:right w:w="70" w:type="dxa"/>
        </w:tblCellMar>
        <w:tblLook w:val="04A0" w:firstRow="1" w:lastRow="0" w:firstColumn="1" w:lastColumn="0" w:noHBand="0" w:noVBand="1"/>
      </w:tblPr>
      <w:tblGrid>
        <w:gridCol w:w="699"/>
        <w:gridCol w:w="479"/>
        <w:gridCol w:w="4709"/>
        <w:gridCol w:w="681"/>
        <w:gridCol w:w="917"/>
        <w:gridCol w:w="918"/>
        <w:gridCol w:w="918"/>
        <w:gridCol w:w="875"/>
      </w:tblGrid>
      <w:tr w:rsidR="009E547D" w:rsidTr="007B78B2">
        <w:trPr>
          <w:trHeight w:val="286"/>
          <w:tblHeader/>
        </w:trPr>
        <w:tc>
          <w:tcPr>
            <w:tcW w:w="10196"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9E547D" w:rsidRDefault="009E547D">
            <w:pPr>
              <w:rPr>
                <w:rFonts w:ascii="Arial" w:hAnsi="Arial" w:cs="Arial"/>
                <w:b/>
                <w:bCs/>
                <w:color w:val="000000"/>
                <w:sz w:val="14"/>
                <w:szCs w:val="14"/>
              </w:rPr>
            </w:pPr>
            <w:r>
              <w:rPr>
                <w:rFonts w:ascii="Arial" w:hAnsi="Arial" w:cs="Arial"/>
                <w:b/>
                <w:bCs/>
                <w:color w:val="000000"/>
                <w:sz w:val="14"/>
                <w:szCs w:val="14"/>
              </w:rPr>
              <w:t>Souhrn za 29109124 - Plzeň 2015, zapsaný ústav</w:t>
            </w:r>
          </w:p>
        </w:tc>
      </w:tr>
      <w:tr w:rsidR="009E547D" w:rsidTr="007B78B2">
        <w:trPr>
          <w:trHeight w:val="168"/>
          <w:tblHeader/>
        </w:trPr>
        <w:tc>
          <w:tcPr>
            <w:tcW w:w="69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9E547D" w:rsidRDefault="009E547D">
            <w:pPr>
              <w:rPr>
                <w:rFonts w:ascii="Arial" w:hAnsi="Arial" w:cs="Arial"/>
                <w:b/>
                <w:bCs/>
                <w:color w:val="000000"/>
                <w:sz w:val="12"/>
                <w:szCs w:val="12"/>
              </w:rPr>
            </w:pPr>
            <w:r>
              <w:rPr>
                <w:rFonts w:ascii="Arial" w:hAnsi="Arial" w:cs="Arial"/>
                <w:b/>
                <w:bCs/>
                <w:color w:val="000000"/>
                <w:sz w:val="12"/>
                <w:szCs w:val="12"/>
              </w:rPr>
              <w:t>Zdroj</w:t>
            </w:r>
          </w:p>
        </w:tc>
        <w:tc>
          <w:tcPr>
            <w:tcW w:w="47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9E547D" w:rsidRDefault="009E547D">
            <w:pPr>
              <w:jc w:val="center"/>
              <w:rPr>
                <w:rFonts w:ascii="Arial" w:hAnsi="Arial" w:cs="Arial"/>
                <w:b/>
                <w:bCs/>
                <w:color w:val="000000"/>
                <w:sz w:val="12"/>
                <w:szCs w:val="12"/>
              </w:rPr>
            </w:pPr>
            <w:r>
              <w:rPr>
                <w:rFonts w:ascii="Arial" w:hAnsi="Arial" w:cs="Arial"/>
                <w:b/>
                <w:bCs/>
                <w:color w:val="000000"/>
                <w:sz w:val="12"/>
                <w:szCs w:val="12"/>
              </w:rPr>
              <w:t>Rok</w:t>
            </w:r>
          </w:p>
        </w:tc>
        <w:tc>
          <w:tcPr>
            <w:tcW w:w="470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9E547D" w:rsidRDefault="009E547D">
            <w:pPr>
              <w:rPr>
                <w:rFonts w:ascii="Arial" w:hAnsi="Arial" w:cs="Arial"/>
                <w:b/>
                <w:bCs/>
                <w:color w:val="000000"/>
                <w:sz w:val="12"/>
                <w:szCs w:val="12"/>
              </w:rPr>
            </w:pPr>
            <w:r>
              <w:rPr>
                <w:rFonts w:ascii="Arial" w:hAnsi="Arial" w:cs="Arial"/>
                <w:b/>
                <w:bCs/>
                <w:color w:val="000000"/>
                <w:sz w:val="12"/>
                <w:szCs w:val="12"/>
              </w:rPr>
              <w:t>Název akce</w:t>
            </w:r>
          </w:p>
        </w:tc>
        <w:tc>
          <w:tcPr>
            <w:tcW w:w="681" w:type="dxa"/>
            <w:tcBorders>
              <w:top w:val="nil"/>
              <w:left w:val="nil"/>
              <w:bottom w:val="nil"/>
              <w:right w:val="single" w:sz="8" w:space="0" w:color="6C6C6C"/>
            </w:tcBorders>
            <w:shd w:val="clear" w:color="000000" w:fill="C5C5C5"/>
            <w:vAlign w:val="center"/>
            <w:hideMark/>
          </w:tcPr>
          <w:p w:rsidR="009E547D" w:rsidRDefault="009E547D">
            <w:pPr>
              <w:jc w:val="center"/>
              <w:rPr>
                <w:rFonts w:ascii="Arial" w:hAnsi="Arial" w:cs="Arial"/>
                <w:b/>
                <w:bCs/>
                <w:color w:val="000000"/>
                <w:sz w:val="12"/>
                <w:szCs w:val="12"/>
              </w:rPr>
            </w:pPr>
            <w:r>
              <w:rPr>
                <w:rFonts w:ascii="Arial" w:hAnsi="Arial" w:cs="Arial"/>
                <w:b/>
                <w:bCs/>
                <w:color w:val="000000"/>
                <w:sz w:val="12"/>
                <w:szCs w:val="12"/>
              </w:rPr>
              <w:t>Kázeň</w:t>
            </w:r>
          </w:p>
        </w:tc>
        <w:tc>
          <w:tcPr>
            <w:tcW w:w="917" w:type="dxa"/>
            <w:tcBorders>
              <w:top w:val="nil"/>
              <w:left w:val="nil"/>
              <w:bottom w:val="nil"/>
              <w:right w:val="single" w:sz="8" w:space="0" w:color="6C6C6C"/>
            </w:tcBorders>
            <w:shd w:val="clear" w:color="000000" w:fill="C5C5C5"/>
            <w:vAlign w:val="center"/>
            <w:hideMark/>
          </w:tcPr>
          <w:p w:rsidR="009E547D" w:rsidRDefault="009E547D">
            <w:pPr>
              <w:jc w:val="center"/>
              <w:rPr>
                <w:rFonts w:ascii="Arial" w:hAnsi="Arial" w:cs="Arial"/>
                <w:b/>
                <w:bCs/>
                <w:color w:val="000000"/>
                <w:sz w:val="12"/>
                <w:szCs w:val="12"/>
              </w:rPr>
            </w:pPr>
            <w:r>
              <w:rPr>
                <w:rFonts w:ascii="Arial" w:hAnsi="Arial" w:cs="Arial"/>
                <w:b/>
                <w:bCs/>
                <w:color w:val="000000"/>
                <w:sz w:val="12"/>
                <w:szCs w:val="12"/>
              </w:rPr>
              <w:t>Částka</w:t>
            </w:r>
          </w:p>
        </w:tc>
        <w:tc>
          <w:tcPr>
            <w:tcW w:w="918" w:type="dxa"/>
            <w:tcBorders>
              <w:top w:val="nil"/>
              <w:left w:val="nil"/>
              <w:bottom w:val="nil"/>
              <w:right w:val="single" w:sz="8" w:space="0" w:color="6C6C6C"/>
            </w:tcBorders>
            <w:shd w:val="clear" w:color="000000" w:fill="C5C5C5"/>
            <w:vAlign w:val="center"/>
            <w:hideMark/>
          </w:tcPr>
          <w:p w:rsidR="009E547D" w:rsidRDefault="009E547D">
            <w:pPr>
              <w:jc w:val="center"/>
              <w:rPr>
                <w:rFonts w:ascii="Arial" w:hAnsi="Arial" w:cs="Arial"/>
                <w:b/>
                <w:bCs/>
                <w:color w:val="000000"/>
                <w:sz w:val="12"/>
                <w:szCs w:val="12"/>
              </w:rPr>
            </w:pPr>
            <w:r>
              <w:rPr>
                <w:rFonts w:ascii="Arial" w:hAnsi="Arial" w:cs="Arial"/>
                <w:b/>
                <w:bCs/>
                <w:color w:val="000000"/>
                <w:sz w:val="12"/>
                <w:szCs w:val="12"/>
              </w:rPr>
              <w:t>Částka</w:t>
            </w:r>
          </w:p>
        </w:tc>
        <w:tc>
          <w:tcPr>
            <w:tcW w:w="918" w:type="dxa"/>
            <w:tcBorders>
              <w:top w:val="nil"/>
              <w:left w:val="nil"/>
              <w:bottom w:val="nil"/>
              <w:right w:val="single" w:sz="8" w:space="0" w:color="6C6C6C"/>
            </w:tcBorders>
            <w:shd w:val="clear" w:color="000000" w:fill="C5C5C5"/>
            <w:vAlign w:val="center"/>
            <w:hideMark/>
          </w:tcPr>
          <w:p w:rsidR="009E547D" w:rsidRDefault="009E547D">
            <w:pPr>
              <w:jc w:val="center"/>
              <w:rPr>
                <w:rFonts w:ascii="Arial" w:hAnsi="Arial" w:cs="Arial"/>
                <w:b/>
                <w:bCs/>
                <w:color w:val="000000"/>
                <w:sz w:val="12"/>
                <w:szCs w:val="12"/>
              </w:rPr>
            </w:pPr>
            <w:r>
              <w:rPr>
                <w:rFonts w:ascii="Arial" w:hAnsi="Arial" w:cs="Arial"/>
                <w:b/>
                <w:bCs/>
                <w:color w:val="000000"/>
                <w:sz w:val="12"/>
                <w:szCs w:val="12"/>
              </w:rPr>
              <w:t>Částka</w:t>
            </w:r>
          </w:p>
        </w:tc>
        <w:tc>
          <w:tcPr>
            <w:tcW w:w="875" w:type="dxa"/>
            <w:tcBorders>
              <w:top w:val="nil"/>
              <w:left w:val="nil"/>
              <w:bottom w:val="nil"/>
              <w:right w:val="single" w:sz="8" w:space="0" w:color="6C6C6C"/>
            </w:tcBorders>
            <w:shd w:val="clear" w:color="000000" w:fill="C5C5C5"/>
            <w:vAlign w:val="center"/>
            <w:hideMark/>
          </w:tcPr>
          <w:p w:rsidR="009E547D" w:rsidRDefault="009E547D">
            <w:pPr>
              <w:jc w:val="center"/>
              <w:rPr>
                <w:rFonts w:ascii="Arial" w:hAnsi="Arial" w:cs="Arial"/>
                <w:b/>
                <w:bCs/>
                <w:color w:val="000000"/>
                <w:sz w:val="12"/>
                <w:szCs w:val="12"/>
              </w:rPr>
            </w:pPr>
            <w:r>
              <w:rPr>
                <w:rFonts w:ascii="Arial" w:hAnsi="Arial" w:cs="Arial"/>
                <w:b/>
                <w:bCs/>
                <w:color w:val="000000"/>
                <w:sz w:val="12"/>
                <w:szCs w:val="12"/>
              </w:rPr>
              <w:t>Částka</w:t>
            </w:r>
          </w:p>
        </w:tc>
      </w:tr>
      <w:tr w:rsidR="009E547D" w:rsidTr="007B78B2">
        <w:trPr>
          <w:trHeight w:val="180"/>
          <w:tblHeader/>
        </w:trPr>
        <w:tc>
          <w:tcPr>
            <w:tcW w:w="699" w:type="dxa"/>
            <w:vMerge/>
            <w:tcBorders>
              <w:top w:val="nil"/>
              <w:left w:val="single" w:sz="8" w:space="0" w:color="6C6C6C"/>
              <w:bottom w:val="single" w:sz="8" w:space="0" w:color="6C6C6C"/>
              <w:right w:val="single" w:sz="8" w:space="0" w:color="6C6C6C"/>
            </w:tcBorders>
            <w:vAlign w:val="center"/>
            <w:hideMark/>
          </w:tcPr>
          <w:p w:rsidR="009E547D" w:rsidRDefault="009E547D">
            <w:pPr>
              <w:rPr>
                <w:rFonts w:ascii="Arial" w:hAnsi="Arial" w:cs="Arial"/>
                <w:b/>
                <w:bCs/>
                <w:color w:val="000000"/>
                <w:sz w:val="12"/>
                <w:szCs w:val="12"/>
              </w:rPr>
            </w:pPr>
          </w:p>
        </w:tc>
        <w:tc>
          <w:tcPr>
            <w:tcW w:w="479" w:type="dxa"/>
            <w:vMerge/>
            <w:tcBorders>
              <w:top w:val="nil"/>
              <w:left w:val="single" w:sz="8" w:space="0" w:color="6C6C6C"/>
              <w:bottom w:val="single" w:sz="8" w:space="0" w:color="6C6C6C"/>
              <w:right w:val="single" w:sz="8" w:space="0" w:color="6C6C6C"/>
            </w:tcBorders>
            <w:vAlign w:val="center"/>
            <w:hideMark/>
          </w:tcPr>
          <w:p w:rsidR="009E547D" w:rsidRDefault="009E547D">
            <w:pPr>
              <w:rPr>
                <w:rFonts w:ascii="Arial" w:hAnsi="Arial" w:cs="Arial"/>
                <w:b/>
                <w:bCs/>
                <w:color w:val="000000"/>
                <w:sz w:val="12"/>
                <w:szCs w:val="12"/>
              </w:rPr>
            </w:pPr>
          </w:p>
        </w:tc>
        <w:tc>
          <w:tcPr>
            <w:tcW w:w="4709" w:type="dxa"/>
            <w:vMerge/>
            <w:tcBorders>
              <w:top w:val="nil"/>
              <w:left w:val="single" w:sz="8" w:space="0" w:color="6C6C6C"/>
              <w:bottom w:val="single" w:sz="8" w:space="0" w:color="6C6C6C"/>
              <w:right w:val="single" w:sz="8" w:space="0" w:color="6C6C6C"/>
            </w:tcBorders>
            <w:vAlign w:val="center"/>
            <w:hideMark/>
          </w:tcPr>
          <w:p w:rsidR="009E547D" w:rsidRDefault="009E547D">
            <w:pPr>
              <w:rPr>
                <w:rFonts w:ascii="Arial" w:hAnsi="Arial" w:cs="Arial"/>
                <w:b/>
                <w:bCs/>
                <w:color w:val="000000"/>
                <w:sz w:val="12"/>
                <w:szCs w:val="12"/>
              </w:rPr>
            </w:pPr>
          </w:p>
        </w:tc>
        <w:tc>
          <w:tcPr>
            <w:tcW w:w="681" w:type="dxa"/>
            <w:tcBorders>
              <w:top w:val="nil"/>
              <w:left w:val="nil"/>
              <w:bottom w:val="single" w:sz="8" w:space="0" w:color="6C6C6C"/>
              <w:right w:val="single" w:sz="8" w:space="0" w:color="6C6C6C"/>
            </w:tcBorders>
            <w:shd w:val="clear" w:color="000000" w:fill="C5C5C5"/>
            <w:vAlign w:val="center"/>
            <w:hideMark/>
          </w:tcPr>
          <w:p w:rsidR="009E547D" w:rsidRDefault="009E547D">
            <w:pPr>
              <w:jc w:val="center"/>
              <w:rPr>
                <w:rFonts w:ascii="Arial" w:hAnsi="Arial" w:cs="Arial"/>
                <w:b/>
                <w:bCs/>
                <w:color w:val="000000"/>
                <w:sz w:val="12"/>
                <w:szCs w:val="12"/>
              </w:rPr>
            </w:pPr>
            <w:r>
              <w:rPr>
                <w:rFonts w:ascii="Arial" w:hAnsi="Arial" w:cs="Arial"/>
                <w:b/>
                <w:bCs/>
                <w:color w:val="000000"/>
                <w:sz w:val="12"/>
                <w:szCs w:val="12"/>
              </w:rPr>
              <w:t>porušená</w:t>
            </w:r>
          </w:p>
        </w:tc>
        <w:tc>
          <w:tcPr>
            <w:tcW w:w="917" w:type="dxa"/>
            <w:tcBorders>
              <w:top w:val="nil"/>
              <w:left w:val="nil"/>
              <w:bottom w:val="single" w:sz="8" w:space="0" w:color="6C6C6C"/>
              <w:right w:val="single" w:sz="8" w:space="0" w:color="6C6C6C"/>
            </w:tcBorders>
            <w:shd w:val="clear" w:color="000000" w:fill="C5C5C5"/>
            <w:vAlign w:val="center"/>
            <w:hideMark/>
          </w:tcPr>
          <w:p w:rsidR="009E547D" w:rsidRDefault="009E547D">
            <w:pPr>
              <w:jc w:val="center"/>
              <w:rPr>
                <w:rFonts w:ascii="Arial" w:hAnsi="Arial" w:cs="Arial"/>
                <w:b/>
                <w:bCs/>
                <w:color w:val="000000"/>
                <w:sz w:val="12"/>
                <w:szCs w:val="12"/>
              </w:rPr>
            </w:pPr>
            <w:r>
              <w:rPr>
                <w:rFonts w:ascii="Arial" w:hAnsi="Arial" w:cs="Arial"/>
                <w:b/>
                <w:bCs/>
                <w:color w:val="000000"/>
                <w:sz w:val="12"/>
                <w:szCs w:val="12"/>
              </w:rPr>
              <w:t>žádosti</w:t>
            </w:r>
          </w:p>
        </w:tc>
        <w:tc>
          <w:tcPr>
            <w:tcW w:w="918" w:type="dxa"/>
            <w:tcBorders>
              <w:top w:val="nil"/>
              <w:left w:val="nil"/>
              <w:bottom w:val="single" w:sz="8" w:space="0" w:color="6C6C6C"/>
              <w:right w:val="single" w:sz="8" w:space="0" w:color="6C6C6C"/>
            </w:tcBorders>
            <w:shd w:val="clear" w:color="000000" w:fill="C5C5C5"/>
            <w:vAlign w:val="center"/>
            <w:hideMark/>
          </w:tcPr>
          <w:p w:rsidR="009E547D" w:rsidRDefault="009E547D">
            <w:pPr>
              <w:jc w:val="center"/>
              <w:rPr>
                <w:rFonts w:ascii="Arial" w:hAnsi="Arial" w:cs="Arial"/>
                <w:b/>
                <w:bCs/>
                <w:color w:val="000000"/>
                <w:sz w:val="12"/>
                <w:szCs w:val="12"/>
              </w:rPr>
            </w:pPr>
            <w:r>
              <w:rPr>
                <w:rFonts w:ascii="Arial" w:hAnsi="Arial" w:cs="Arial"/>
                <w:b/>
                <w:bCs/>
                <w:color w:val="000000"/>
                <w:sz w:val="12"/>
                <w:szCs w:val="12"/>
              </w:rPr>
              <w:t>schválená</w:t>
            </w:r>
          </w:p>
        </w:tc>
        <w:tc>
          <w:tcPr>
            <w:tcW w:w="918" w:type="dxa"/>
            <w:tcBorders>
              <w:top w:val="nil"/>
              <w:left w:val="nil"/>
              <w:bottom w:val="single" w:sz="8" w:space="0" w:color="6C6C6C"/>
              <w:right w:val="single" w:sz="8" w:space="0" w:color="6C6C6C"/>
            </w:tcBorders>
            <w:shd w:val="clear" w:color="000000" w:fill="C5C5C5"/>
            <w:vAlign w:val="center"/>
            <w:hideMark/>
          </w:tcPr>
          <w:p w:rsidR="009E547D" w:rsidRDefault="009E547D">
            <w:pPr>
              <w:jc w:val="center"/>
              <w:rPr>
                <w:rFonts w:ascii="Arial" w:hAnsi="Arial" w:cs="Arial"/>
                <w:b/>
                <w:bCs/>
                <w:color w:val="000000"/>
                <w:sz w:val="12"/>
                <w:szCs w:val="12"/>
              </w:rPr>
            </w:pPr>
            <w:r>
              <w:rPr>
                <w:rFonts w:ascii="Arial" w:hAnsi="Arial" w:cs="Arial"/>
                <w:b/>
                <w:bCs/>
                <w:color w:val="000000"/>
                <w:sz w:val="12"/>
                <w:szCs w:val="12"/>
              </w:rPr>
              <w:t>vyplacená</w:t>
            </w:r>
          </w:p>
        </w:tc>
        <w:tc>
          <w:tcPr>
            <w:tcW w:w="875" w:type="dxa"/>
            <w:tcBorders>
              <w:top w:val="nil"/>
              <w:left w:val="nil"/>
              <w:bottom w:val="single" w:sz="8" w:space="0" w:color="6C6C6C"/>
              <w:right w:val="single" w:sz="8" w:space="0" w:color="6C6C6C"/>
            </w:tcBorders>
            <w:shd w:val="clear" w:color="000000" w:fill="C5C5C5"/>
            <w:vAlign w:val="center"/>
            <w:hideMark/>
          </w:tcPr>
          <w:p w:rsidR="009E547D" w:rsidRDefault="009E547D">
            <w:pPr>
              <w:jc w:val="center"/>
              <w:rPr>
                <w:rFonts w:ascii="Arial" w:hAnsi="Arial" w:cs="Arial"/>
                <w:b/>
                <w:bCs/>
                <w:color w:val="000000"/>
                <w:sz w:val="12"/>
                <w:szCs w:val="12"/>
              </w:rPr>
            </w:pPr>
            <w:r>
              <w:rPr>
                <w:rFonts w:ascii="Arial" w:hAnsi="Arial" w:cs="Arial"/>
                <w:b/>
                <w:bCs/>
                <w:color w:val="000000"/>
                <w:sz w:val="12"/>
                <w:szCs w:val="12"/>
              </w:rPr>
              <w:t>vrácená</w:t>
            </w:r>
          </w:p>
        </w:tc>
      </w:tr>
      <w:tr w:rsidR="009E547D" w:rsidTr="007B78B2">
        <w:trPr>
          <w:trHeight w:val="360"/>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2017</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Plzeň </w:t>
            </w:r>
            <w:proofErr w:type="gramStart"/>
            <w:r>
              <w:rPr>
                <w:rFonts w:ascii="Arial" w:hAnsi="Arial" w:cs="Arial"/>
                <w:color w:val="000000"/>
                <w:sz w:val="12"/>
                <w:szCs w:val="12"/>
              </w:rPr>
              <w:t xml:space="preserve">2015, z. </w:t>
            </w:r>
            <w:proofErr w:type="spellStart"/>
            <w:r>
              <w:rPr>
                <w:rFonts w:ascii="Arial" w:hAnsi="Arial" w:cs="Arial"/>
                <w:color w:val="000000"/>
                <w:sz w:val="12"/>
                <w:szCs w:val="12"/>
              </w:rPr>
              <w:t>ú.</w:t>
            </w:r>
            <w:proofErr w:type="spellEnd"/>
            <w:proofErr w:type="gramEnd"/>
            <w:r>
              <w:rPr>
                <w:rFonts w:ascii="Arial" w:hAnsi="Arial" w:cs="Arial"/>
                <w:color w:val="000000"/>
                <w:sz w:val="12"/>
                <w:szCs w:val="12"/>
              </w:rPr>
              <w:t xml:space="preserve"> - Provoz společnosti a zajištění kulturního a uměleckého programu v roce 2017</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14 000 000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14 000 000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14 000 000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62 085,19</w:t>
            </w:r>
          </w:p>
        </w:tc>
      </w:tr>
      <w:tr w:rsidR="009E547D" w:rsidTr="007B78B2">
        <w:trPr>
          <w:trHeight w:val="216"/>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2017</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KULT-Z/3 - Plzeň </w:t>
            </w:r>
            <w:proofErr w:type="gramStart"/>
            <w:r>
              <w:rPr>
                <w:rFonts w:ascii="Arial" w:hAnsi="Arial" w:cs="Arial"/>
                <w:color w:val="000000"/>
                <w:sz w:val="12"/>
                <w:szCs w:val="12"/>
              </w:rPr>
              <w:t xml:space="preserve">2015, z. </w:t>
            </w:r>
            <w:proofErr w:type="spellStart"/>
            <w:r>
              <w:rPr>
                <w:rFonts w:ascii="Arial" w:hAnsi="Arial" w:cs="Arial"/>
                <w:color w:val="000000"/>
                <w:sz w:val="12"/>
                <w:szCs w:val="12"/>
              </w:rPr>
              <w:t>ú.</w:t>
            </w:r>
            <w:proofErr w:type="spellEnd"/>
            <w:proofErr w:type="gramEnd"/>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3 340 000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1 700 000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1 700 000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34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ÚMO 3</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2017</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Trabantem kolem světa - projekt v oblasti výtvarného umění - 5. 3. - 28. 5. 2017</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119 000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90 000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90 000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34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ÚMO 1</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2017</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Realizace projektu festival světla - marketing, honoráře, technické zajištění</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200 000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200 000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200 000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2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ÚMO 3</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2017</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Krytí nákladů na realizaci projektu Festival světla</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200 000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150 000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40"/>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2017</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RP/1 - </w:t>
            </w:r>
            <w:proofErr w:type="spellStart"/>
            <w:r>
              <w:rPr>
                <w:rFonts w:ascii="Arial" w:hAnsi="Arial" w:cs="Arial"/>
                <w:color w:val="000000"/>
                <w:sz w:val="12"/>
                <w:szCs w:val="12"/>
              </w:rPr>
              <w:t>Nozomi</w:t>
            </w:r>
            <w:proofErr w:type="spellEnd"/>
            <w:r>
              <w:rPr>
                <w:rFonts w:ascii="Arial" w:hAnsi="Arial" w:cs="Arial"/>
                <w:color w:val="000000"/>
                <w:sz w:val="12"/>
                <w:szCs w:val="12"/>
              </w:rPr>
              <w:t xml:space="preserve"> </w:t>
            </w:r>
            <w:proofErr w:type="spellStart"/>
            <w:r>
              <w:rPr>
                <w:rFonts w:ascii="Arial" w:hAnsi="Arial" w:cs="Arial"/>
                <w:color w:val="000000"/>
                <w:sz w:val="12"/>
                <w:szCs w:val="12"/>
              </w:rPr>
              <w:t>Watanabe</w:t>
            </w:r>
            <w:proofErr w:type="spellEnd"/>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52"/>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lastRenderedPageBreak/>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2017</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RP/2 - </w:t>
            </w:r>
            <w:proofErr w:type="spellStart"/>
            <w:r>
              <w:rPr>
                <w:rFonts w:ascii="Arial" w:hAnsi="Arial" w:cs="Arial"/>
                <w:color w:val="000000"/>
                <w:sz w:val="12"/>
                <w:szCs w:val="12"/>
              </w:rPr>
              <w:t>Novi</w:t>
            </w:r>
            <w:proofErr w:type="spellEnd"/>
            <w:r>
              <w:rPr>
                <w:rFonts w:ascii="Arial" w:hAnsi="Arial" w:cs="Arial"/>
                <w:color w:val="000000"/>
                <w:sz w:val="12"/>
                <w:szCs w:val="12"/>
              </w:rPr>
              <w:t xml:space="preserve"> Sad (Srbsko)</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64"/>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ÚMO 2</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2017</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festival BLIK </w:t>
            </w:r>
            <w:proofErr w:type="spellStart"/>
            <w:r>
              <w:rPr>
                <w:rFonts w:ascii="Arial" w:hAnsi="Arial" w:cs="Arial"/>
                <w:color w:val="000000"/>
                <w:sz w:val="12"/>
                <w:szCs w:val="12"/>
              </w:rPr>
              <w:t>BLIK</w:t>
            </w:r>
            <w:proofErr w:type="spellEnd"/>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150 000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28"/>
        </w:trPr>
        <w:tc>
          <w:tcPr>
            <w:tcW w:w="6568" w:type="dxa"/>
            <w:gridSpan w:val="4"/>
            <w:tcBorders>
              <w:top w:val="single" w:sz="8" w:space="0" w:color="6C6C6C"/>
              <w:left w:val="single" w:sz="8" w:space="0" w:color="6C6C6C"/>
              <w:bottom w:val="single" w:sz="8" w:space="0" w:color="6C6C6C"/>
              <w:right w:val="single" w:sz="8" w:space="0" w:color="6C6C6C"/>
            </w:tcBorders>
            <w:shd w:val="clear" w:color="000000" w:fill="F0E68C"/>
            <w:vAlign w:val="center"/>
            <w:hideMark/>
          </w:tcPr>
          <w:p w:rsidR="009E547D" w:rsidRDefault="009E547D">
            <w:pPr>
              <w:rPr>
                <w:rFonts w:ascii="Arial" w:hAnsi="Arial" w:cs="Arial"/>
                <w:b/>
                <w:bCs/>
                <w:color w:val="000000"/>
                <w:sz w:val="12"/>
                <w:szCs w:val="12"/>
              </w:rPr>
            </w:pPr>
            <w:r>
              <w:rPr>
                <w:rFonts w:ascii="Arial" w:hAnsi="Arial" w:cs="Arial"/>
                <w:b/>
                <w:bCs/>
                <w:color w:val="000000"/>
                <w:sz w:val="12"/>
                <w:szCs w:val="12"/>
              </w:rPr>
              <w:t>Suma 2017</w:t>
            </w:r>
          </w:p>
        </w:tc>
        <w:tc>
          <w:tcPr>
            <w:tcW w:w="917" w:type="dxa"/>
            <w:tcBorders>
              <w:top w:val="nil"/>
              <w:left w:val="nil"/>
              <w:bottom w:val="single" w:sz="8" w:space="0" w:color="6C6C6C"/>
              <w:right w:val="single" w:sz="8" w:space="0" w:color="6C6C6C"/>
            </w:tcBorders>
            <w:shd w:val="clear" w:color="000000" w:fill="F0E68C"/>
            <w:vAlign w:val="center"/>
            <w:hideMark/>
          </w:tcPr>
          <w:p w:rsidR="009E547D" w:rsidRDefault="009E547D">
            <w:pPr>
              <w:jc w:val="right"/>
              <w:rPr>
                <w:rFonts w:ascii="Arial" w:hAnsi="Arial" w:cs="Arial"/>
                <w:b/>
                <w:bCs/>
                <w:color w:val="000000"/>
                <w:sz w:val="12"/>
                <w:szCs w:val="12"/>
              </w:rPr>
            </w:pPr>
            <w:r>
              <w:rPr>
                <w:rFonts w:ascii="Arial" w:hAnsi="Arial" w:cs="Arial"/>
                <w:b/>
                <w:bCs/>
                <w:color w:val="000000"/>
                <w:sz w:val="12"/>
                <w:szCs w:val="12"/>
              </w:rPr>
              <w:t>18 109 000</w:t>
            </w:r>
          </w:p>
        </w:tc>
        <w:tc>
          <w:tcPr>
            <w:tcW w:w="918" w:type="dxa"/>
            <w:tcBorders>
              <w:top w:val="nil"/>
              <w:left w:val="nil"/>
              <w:bottom w:val="single" w:sz="8" w:space="0" w:color="6C6C6C"/>
              <w:right w:val="single" w:sz="8" w:space="0" w:color="6C6C6C"/>
            </w:tcBorders>
            <w:shd w:val="clear" w:color="000000" w:fill="F0E68C"/>
            <w:vAlign w:val="center"/>
            <w:hideMark/>
          </w:tcPr>
          <w:p w:rsidR="009E547D" w:rsidRDefault="009E547D">
            <w:pPr>
              <w:jc w:val="right"/>
              <w:rPr>
                <w:rFonts w:ascii="Arial" w:hAnsi="Arial" w:cs="Arial"/>
                <w:b/>
                <w:bCs/>
                <w:color w:val="000000"/>
                <w:sz w:val="12"/>
                <w:szCs w:val="12"/>
              </w:rPr>
            </w:pPr>
            <w:r>
              <w:rPr>
                <w:rFonts w:ascii="Arial" w:hAnsi="Arial" w:cs="Arial"/>
                <w:b/>
                <w:bCs/>
                <w:color w:val="000000"/>
                <w:sz w:val="12"/>
                <w:szCs w:val="12"/>
              </w:rPr>
              <w:t>16 390 000</w:t>
            </w:r>
          </w:p>
        </w:tc>
        <w:tc>
          <w:tcPr>
            <w:tcW w:w="918" w:type="dxa"/>
            <w:tcBorders>
              <w:top w:val="nil"/>
              <w:left w:val="nil"/>
              <w:bottom w:val="single" w:sz="8" w:space="0" w:color="6C6C6C"/>
              <w:right w:val="single" w:sz="8" w:space="0" w:color="6C6C6C"/>
            </w:tcBorders>
            <w:shd w:val="clear" w:color="000000" w:fill="F0E68C"/>
            <w:vAlign w:val="center"/>
            <w:hideMark/>
          </w:tcPr>
          <w:p w:rsidR="009E547D" w:rsidRDefault="009E547D">
            <w:pPr>
              <w:jc w:val="right"/>
              <w:rPr>
                <w:rFonts w:ascii="Arial" w:hAnsi="Arial" w:cs="Arial"/>
                <w:b/>
                <w:bCs/>
                <w:color w:val="000000"/>
                <w:sz w:val="12"/>
                <w:szCs w:val="12"/>
              </w:rPr>
            </w:pPr>
            <w:r>
              <w:rPr>
                <w:rFonts w:ascii="Arial" w:hAnsi="Arial" w:cs="Arial"/>
                <w:b/>
                <w:bCs/>
                <w:color w:val="000000"/>
                <w:sz w:val="12"/>
                <w:szCs w:val="12"/>
              </w:rPr>
              <w:t>16 390 000</w:t>
            </w:r>
          </w:p>
        </w:tc>
        <w:tc>
          <w:tcPr>
            <w:tcW w:w="875" w:type="dxa"/>
            <w:tcBorders>
              <w:top w:val="nil"/>
              <w:left w:val="nil"/>
              <w:bottom w:val="single" w:sz="8" w:space="0" w:color="6C6C6C"/>
              <w:right w:val="single" w:sz="8" w:space="0" w:color="6C6C6C"/>
            </w:tcBorders>
            <w:shd w:val="clear" w:color="000000" w:fill="F0E68C"/>
            <w:vAlign w:val="center"/>
            <w:hideMark/>
          </w:tcPr>
          <w:p w:rsidR="009E547D" w:rsidRDefault="009E547D">
            <w:pPr>
              <w:jc w:val="right"/>
              <w:rPr>
                <w:rFonts w:ascii="Arial" w:hAnsi="Arial" w:cs="Arial"/>
                <w:b/>
                <w:bCs/>
                <w:color w:val="000000"/>
                <w:sz w:val="12"/>
                <w:szCs w:val="12"/>
              </w:rPr>
            </w:pPr>
            <w:r>
              <w:rPr>
                <w:rFonts w:ascii="Arial" w:hAnsi="Arial" w:cs="Arial"/>
                <w:b/>
                <w:bCs/>
                <w:color w:val="000000"/>
                <w:sz w:val="12"/>
                <w:szCs w:val="12"/>
              </w:rPr>
              <w:t>62 085,19</w:t>
            </w:r>
          </w:p>
        </w:tc>
      </w:tr>
      <w:tr w:rsidR="009E547D" w:rsidTr="007B78B2">
        <w:trPr>
          <w:trHeight w:val="252"/>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RP/1 - Za barokem</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52"/>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RP/2 - 100. výročí vzniku Československé republiky</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50 000,00</w:t>
            </w:r>
          </w:p>
        </w:tc>
      </w:tr>
      <w:tr w:rsidR="009E547D" w:rsidTr="007B78B2">
        <w:trPr>
          <w:trHeight w:val="22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RP/3 - Festival světla BLIK </w:t>
            </w:r>
            <w:proofErr w:type="spellStart"/>
            <w:r>
              <w:rPr>
                <w:rFonts w:ascii="Arial" w:hAnsi="Arial" w:cs="Arial"/>
                <w:color w:val="000000"/>
                <w:sz w:val="12"/>
                <w:szCs w:val="12"/>
              </w:rPr>
              <w:t>BLIK</w:t>
            </w:r>
            <w:proofErr w:type="spellEnd"/>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790</w:t>
            </w:r>
          </w:p>
        </w:tc>
      </w:tr>
      <w:tr w:rsidR="009E547D" w:rsidTr="007B78B2">
        <w:trPr>
          <w:trHeight w:val="516"/>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Plzeň </w:t>
            </w:r>
            <w:proofErr w:type="gramStart"/>
            <w:r>
              <w:rPr>
                <w:rFonts w:ascii="Arial" w:hAnsi="Arial" w:cs="Arial"/>
                <w:color w:val="000000"/>
                <w:sz w:val="12"/>
                <w:szCs w:val="12"/>
              </w:rPr>
              <w:t xml:space="preserve">2015, z. </w:t>
            </w:r>
            <w:proofErr w:type="spellStart"/>
            <w:r>
              <w:rPr>
                <w:rFonts w:ascii="Arial" w:hAnsi="Arial" w:cs="Arial"/>
                <w:color w:val="000000"/>
                <w:sz w:val="12"/>
                <w:szCs w:val="12"/>
              </w:rPr>
              <w:t>ú.</w:t>
            </w:r>
            <w:proofErr w:type="spellEnd"/>
            <w:proofErr w:type="gramEnd"/>
            <w:r>
              <w:rPr>
                <w:rFonts w:ascii="Arial" w:hAnsi="Arial" w:cs="Arial"/>
                <w:color w:val="000000"/>
                <w:sz w:val="12"/>
                <w:szCs w:val="12"/>
              </w:rPr>
              <w:t xml:space="preserve"> - Neinvestiční dotace na náklady spojené s provozem KD PEKLO a s realizací uměleckého a kulturního programu v tomto objektu.</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3 000 000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3 000 000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3 000 000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34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Plzeň </w:t>
            </w:r>
            <w:proofErr w:type="gramStart"/>
            <w:r>
              <w:rPr>
                <w:rFonts w:ascii="Arial" w:hAnsi="Arial" w:cs="Arial"/>
                <w:color w:val="000000"/>
                <w:sz w:val="12"/>
                <w:szCs w:val="12"/>
              </w:rPr>
              <w:t xml:space="preserve">2015, z. </w:t>
            </w:r>
            <w:proofErr w:type="spellStart"/>
            <w:r>
              <w:rPr>
                <w:rFonts w:ascii="Arial" w:hAnsi="Arial" w:cs="Arial"/>
                <w:color w:val="000000"/>
                <w:sz w:val="12"/>
                <w:szCs w:val="12"/>
              </w:rPr>
              <w:t>ú.</w:t>
            </w:r>
            <w:proofErr w:type="spellEnd"/>
            <w:proofErr w:type="gramEnd"/>
            <w:r>
              <w:rPr>
                <w:rFonts w:ascii="Arial" w:hAnsi="Arial" w:cs="Arial"/>
                <w:color w:val="000000"/>
                <w:sz w:val="12"/>
                <w:szCs w:val="12"/>
              </w:rPr>
              <w:t xml:space="preserve"> - Neinvestiční dotace na realizaci výstavy "100 let republiky očima pěti generací"</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799 900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799 900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799 900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516"/>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Plzeň </w:t>
            </w:r>
            <w:proofErr w:type="gramStart"/>
            <w:r>
              <w:rPr>
                <w:rFonts w:ascii="Arial" w:hAnsi="Arial" w:cs="Arial"/>
                <w:color w:val="000000"/>
                <w:sz w:val="12"/>
                <w:szCs w:val="12"/>
              </w:rPr>
              <w:t xml:space="preserve">2015, z. </w:t>
            </w:r>
            <w:proofErr w:type="spellStart"/>
            <w:r>
              <w:rPr>
                <w:rFonts w:ascii="Arial" w:hAnsi="Arial" w:cs="Arial"/>
                <w:color w:val="000000"/>
                <w:sz w:val="12"/>
                <w:szCs w:val="12"/>
              </w:rPr>
              <w:t>ú.</w:t>
            </w:r>
            <w:proofErr w:type="spellEnd"/>
            <w:proofErr w:type="gramEnd"/>
            <w:r>
              <w:rPr>
                <w:rFonts w:ascii="Arial" w:hAnsi="Arial" w:cs="Arial"/>
                <w:color w:val="000000"/>
                <w:sz w:val="12"/>
                <w:szCs w:val="12"/>
              </w:rPr>
              <w:t xml:space="preserve"> - Dotace na vybudování tržnice v areálu Kreativní zóny DEPO2015 (investiční část: 1.200 tis. Kč - původně 2.774 tis. Kč - sníženo, neinvestiční část 725 tis. Kč).</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3 499 000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1 925 000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1 925 000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34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ÚMO 3</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Autorská interaktivní výstava 100 let Československa očima pěti generací - rok 2018</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77 440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40"/>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ÚMO 3</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Honoráře a materiální náklady na realizaci interaktivní výstavy</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91 100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516"/>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Plzeň </w:t>
            </w:r>
            <w:proofErr w:type="gramStart"/>
            <w:r>
              <w:rPr>
                <w:rFonts w:ascii="Arial" w:hAnsi="Arial" w:cs="Arial"/>
                <w:color w:val="000000"/>
                <w:sz w:val="12"/>
                <w:szCs w:val="12"/>
              </w:rPr>
              <w:t xml:space="preserve">2015, </w:t>
            </w:r>
            <w:proofErr w:type="spellStart"/>
            <w:r>
              <w:rPr>
                <w:rFonts w:ascii="Arial" w:hAnsi="Arial" w:cs="Arial"/>
                <w:color w:val="000000"/>
                <w:sz w:val="12"/>
                <w:szCs w:val="12"/>
              </w:rPr>
              <w:t>z.ú</w:t>
            </w:r>
            <w:proofErr w:type="spellEnd"/>
            <w:r>
              <w:rPr>
                <w:rFonts w:ascii="Arial" w:hAnsi="Arial" w:cs="Arial"/>
                <w:color w:val="000000"/>
                <w:sz w:val="12"/>
                <w:szCs w:val="12"/>
              </w:rPr>
              <w:t>.</w:t>
            </w:r>
            <w:proofErr w:type="gramEnd"/>
            <w:r>
              <w:rPr>
                <w:rFonts w:ascii="Arial" w:hAnsi="Arial" w:cs="Arial"/>
                <w:color w:val="000000"/>
                <w:sz w:val="12"/>
                <w:szCs w:val="12"/>
              </w:rPr>
              <w:t xml:space="preserve"> - individuální dotace na obměnu výpočetní techniky (včetně software) a mobilních telefonů a nákup audiovizuální techniky</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250 000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250 000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250 000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34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Plzeň </w:t>
            </w:r>
            <w:proofErr w:type="gramStart"/>
            <w:r>
              <w:rPr>
                <w:rFonts w:ascii="Arial" w:hAnsi="Arial" w:cs="Arial"/>
                <w:color w:val="000000"/>
                <w:sz w:val="12"/>
                <w:szCs w:val="12"/>
              </w:rPr>
              <w:t xml:space="preserve">2015, </w:t>
            </w:r>
            <w:proofErr w:type="spellStart"/>
            <w:r>
              <w:rPr>
                <w:rFonts w:ascii="Arial" w:hAnsi="Arial" w:cs="Arial"/>
                <w:color w:val="000000"/>
                <w:sz w:val="12"/>
                <w:szCs w:val="12"/>
              </w:rPr>
              <w:t>z.ú</w:t>
            </w:r>
            <w:proofErr w:type="spellEnd"/>
            <w:r>
              <w:rPr>
                <w:rFonts w:ascii="Arial" w:hAnsi="Arial" w:cs="Arial"/>
                <w:color w:val="000000"/>
                <w:sz w:val="12"/>
                <w:szCs w:val="12"/>
              </w:rPr>
              <w:t>.</w:t>
            </w:r>
            <w:proofErr w:type="gramEnd"/>
            <w:r>
              <w:rPr>
                <w:rFonts w:ascii="Arial" w:hAnsi="Arial" w:cs="Arial"/>
                <w:color w:val="000000"/>
                <w:sz w:val="12"/>
                <w:szCs w:val="12"/>
              </w:rPr>
              <w:t xml:space="preserve"> - individuální dotace na opravu vrat "Autobusové haly" v objektu DEPO2015</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115 000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115 000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115 000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2 988,54</w:t>
            </w:r>
          </w:p>
        </w:tc>
      </w:tr>
      <w:tr w:rsidR="009E547D" w:rsidTr="007B78B2">
        <w:trPr>
          <w:trHeight w:val="34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Plzeň </w:t>
            </w:r>
            <w:proofErr w:type="gramStart"/>
            <w:r>
              <w:rPr>
                <w:rFonts w:ascii="Arial" w:hAnsi="Arial" w:cs="Arial"/>
                <w:color w:val="000000"/>
                <w:sz w:val="12"/>
                <w:szCs w:val="12"/>
              </w:rPr>
              <w:t xml:space="preserve">2015, z. </w:t>
            </w:r>
            <w:proofErr w:type="spellStart"/>
            <w:r>
              <w:rPr>
                <w:rFonts w:ascii="Arial" w:hAnsi="Arial" w:cs="Arial"/>
                <w:color w:val="000000"/>
                <w:sz w:val="12"/>
                <w:szCs w:val="12"/>
              </w:rPr>
              <w:t>ú.</w:t>
            </w:r>
            <w:proofErr w:type="spellEnd"/>
            <w:proofErr w:type="gramEnd"/>
            <w:r>
              <w:rPr>
                <w:rFonts w:ascii="Arial" w:hAnsi="Arial" w:cs="Arial"/>
                <w:color w:val="000000"/>
                <w:sz w:val="12"/>
                <w:szCs w:val="12"/>
              </w:rPr>
              <w:t xml:space="preserve"> - individuální dotace na realizaci výstavy Plzeň Design </w:t>
            </w:r>
            <w:proofErr w:type="spellStart"/>
            <w:r>
              <w:rPr>
                <w:rFonts w:ascii="Arial" w:hAnsi="Arial" w:cs="Arial"/>
                <w:color w:val="000000"/>
                <w:sz w:val="12"/>
                <w:szCs w:val="12"/>
              </w:rPr>
              <w:t>Week</w:t>
            </w:r>
            <w:proofErr w:type="spellEnd"/>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535 000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535 000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535 000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34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Plzeň </w:t>
            </w:r>
            <w:proofErr w:type="gramStart"/>
            <w:r>
              <w:rPr>
                <w:rFonts w:ascii="Arial" w:hAnsi="Arial" w:cs="Arial"/>
                <w:color w:val="000000"/>
                <w:sz w:val="12"/>
                <w:szCs w:val="12"/>
              </w:rPr>
              <w:t xml:space="preserve">2015, z. </w:t>
            </w:r>
            <w:proofErr w:type="spellStart"/>
            <w:r>
              <w:rPr>
                <w:rFonts w:ascii="Arial" w:hAnsi="Arial" w:cs="Arial"/>
                <w:color w:val="000000"/>
                <w:sz w:val="12"/>
                <w:szCs w:val="12"/>
              </w:rPr>
              <w:t>ú.</w:t>
            </w:r>
            <w:proofErr w:type="spellEnd"/>
            <w:proofErr w:type="gramEnd"/>
            <w:r>
              <w:rPr>
                <w:rFonts w:ascii="Arial" w:hAnsi="Arial" w:cs="Arial"/>
                <w:color w:val="000000"/>
                <w:sz w:val="12"/>
                <w:szCs w:val="12"/>
              </w:rPr>
              <w:t xml:space="preserve"> - individuální dotace na realizaci projektu "Dožínky"</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50 000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34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Plzeň </w:t>
            </w:r>
            <w:proofErr w:type="gramStart"/>
            <w:r>
              <w:rPr>
                <w:rFonts w:ascii="Arial" w:hAnsi="Arial" w:cs="Arial"/>
                <w:color w:val="000000"/>
                <w:sz w:val="12"/>
                <w:szCs w:val="12"/>
              </w:rPr>
              <w:t xml:space="preserve">2015, z. </w:t>
            </w:r>
            <w:proofErr w:type="spellStart"/>
            <w:r>
              <w:rPr>
                <w:rFonts w:ascii="Arial" w:hAnsi="Arial" w:cs="Arial"/>
                <w:color w:val="000000"/>
                <w:sz w:val="12"/>
                <w:szCs w:val="12"/>
              </w:rPr>
              <w:t>ú.</w:t>
            </w:r>
            <w:proofErr w:type="spellEnd"/>
            <w:proofErr w:type="gramEnd"/>
            <w:r>
              <w:rPr>
                <w:rFonts w:ascii="Arial" w:hAnsi="Arial" w:cs="Arial"/>
                <w:color w:val="000000"/>
                <w:sz w:val="12"/>
                <w:szCs w:val="12"/>
              </w:rPr>
              <w:t xml:space="preserve"> - Dotace na komplexní čištění a konzervaci topného systému</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326 700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326 700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326 700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24 948,00</w:t>
            </w:r>
          </w:p>
        </w:tc>
      </w:tr>
      <w:tr w:rsidR="009E547D" w:rsidTr="007B78B2">
        <w:trPr>
          <w:trHeight w:val="384"/>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Plzeň </w:t>
            </w:r>
            <w:proofErr w:type="gramStart"/>
            <w:r>
              <w:rPr>
                <w:rFonts w:ascii="Arial" w:hAnsi="Arial" w:cs="Arial"/>
                <w:color w:val="000000"/>
                <w:sz w:val="12"/>
                <w:szCs w:val="12"/>
              </w:rPr>
              <w:t xml:space="preserve">2015, z. </w:t>
            </w:r>
            <w:proofErr w:type="spellStart"/>
            <w:r>
              <w:rPr>
                <w:rFonts w:ascii="Arial" w:hAnsi="Arial" w:cs="Arial"/>
                <w:color w:val="000000"/>
                <w:sz w:val="12"/>
                <w:szCs w:val="12"/>
              </w:rPr>
              <w:t>ú.</w:t>
            </w:r>
            <w:proofErr w:type="spellEnd"/>
            <w:proofErr w:type="gramEnd"/>
            <w:r>
              <w:rPr>
                <w:rFonts w:ascii="Arial" w:hAnsi="Arial" w:cs="Arial"/>
                <w:color w:val="000000"/>
                <w:sz w:val="12"/>
                <w:szCs w:val="12"/>
              </w:rPr>
              <w:t xml:space="preserve"> - Provoz společnosti a zajištění kulturního a uměleckého programu (z toho KD Peklo 3 mil. Kč) v roce 2018</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13 000 000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10 000 000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10 000 000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52"/>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KULT-Z/3 - Plzeň </w:t>
            </w:r>
            <w:proofErr w:type="gramStart"/>
            <w:r>
              <w:rPr>
                <w:rFonts w:ascii="Arial" w:hAnsi="Arial" w:cs="Arial"/>
                <w:color w:val="000000"/>
                <w:sz w:val="12"/>
                <w:szCs w:val="12"/>
              </w:rPr>
              <w:t xml:space="preserve">2015, z. </w:t>
            </w:r>
            <w:proofErr w:type="spellStart"/>
            <w:r>
              <w:rPr>
                <w:rFonts w:ascii="Arial" w:hAnsi="Arial" w:cs="Arial"/>
                <w:color w:val="000000"/>
                <w:sz w:val="12"/>
                <w:szCs w:val="12"/>
              </w:rPr>
              <w:t>ú.</w:t>
            </w:r>
            <w:proofErr w:type="spellEnd"/>
            <w:proofErr w:type="gramEnd"/>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3 340 000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1 700 000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1 700 000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34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2018</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Plzeň </w:t>
            </w:r>
            <w:proofErr w:type="gramStart"/>
            <w:r>
              <w:rPr>
                <w:rFonts w:ascii="Arial" w:hAnsi="Arial" w:cs="Arial"/>
                <w:color w:val="000000"/>
                <w:sz w:val="12"/>
                <w:szCs w:val="12"/>
              </w:rPr>
              <w:t xml:space="preserve">2015, z. </w:t>
            </w:r>
            <w:proofErr w:type="spellStart"/>
            <w:r>
              <w:rPr>
                <w:rFonts w:ascii="Arial" w:hAnsi="Arial" w:cs="Arial"/>
                <w:color w:val="000000"/>
                <w:sz w:val="12"/>
                <w:szCs w:val="12"/>
              </w:rPr>
              <w:t>ú.</w:t>
            </w:r>
            <w:proofErr w:type="spellEnd"/>
            <w:proofErr w:type="gramEnd"/>
            <w:r>
              <w:rPr>
                <w:rFonts w:ascii="Arial" w:hAnsi="Arial" w:cs="Arial"/>
                <w:color w:val="000000"/>
                <w:sz w:val="12"/>
                <w:szCs w:val="12"/>
              </w:rPr>
              <w:t xml:space="preserve"> - Investiční dotace na pořízení mobilní taneční podlahy do Autobusové haly objektu DEPO2015</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400 000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400 000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400 000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40"/>
        </w:trPr>
        <w:tc>
          <w:tcPr>
            <w:tcW w:w="6568" w:type="dxa"/>
            <w:gridSpan w:val="4"/>
            <w:tcBorders>
              <w:top w:val="single" w:sz="8" w:space="0" w:color="6C6C6C"/>
              <w:left w:val="single" w:sz="8" w:space="0" w:color="6C6C6C"/>
              <w:bottom w:val="single" w:sz="8" w:space="0" w:color="6C6C6C"/>
              <w:right w:val="single" w:sz="8" w:space="0" w:color="6C6C6C"/>
            </w:tcBorders>
            <w:shd w:val="clear" w:color="000000" w:fill="F0E68C"/>
            <w:vAlign w:val="center"/>
            <w:hideMark/>
          </w:tcPr>
          <w:p w:rsidR="009E547D" w:rsidRDefault="009E547D">
            <w:pPr>
              <w:rPr>
                <w:rFonts w:ascii="Arial" w:hAnsi="Arial" w:cs="Arial"/>
                <w:b/>
                <w:bCs/>
                <w:color w:val="000000"/>
                <w:sz w:val="12"/>
                <w:szCs w:val="12"/>
              </w:rPr>
            </w:pPr>
            <w:r>
              <w:rPr>
                <w:rFonts w:ascii="Arial" w:hAnsi="Arial" w:cs="Arial"/>
                <w:b/>
                <w:bCs/>
                <w:color w:val="000000"/>
                <w:sz w:val="12"/>
                <w:szCs w:val="12"/>
              </w:rPr>
              <w:t>Suma 2018</w:t>
            </w:r>
          </w:p>
        </w:tc>
        <w:tc>
          <w:tcPr>
            <w:tcW w:w="917" w:type="dxa"/>
            <w:tcBorders>
              <w:top w:val="nil"/>
              <w:left w:val="nil"/>
              <w:bottom w:val="single" w:sz="8" w:space="0" w:color="6C6C6C"/>
              <w:right w:val="single" w:sz="8" w:space="0" w:color="6C6C6C"/>
            </w:tcBorders>
            <w:shd w:val="clear" w:color="000000" w:fill="F0E68C"/>
            <w:vAlign w:val="center"/>
            <w:hideMark/>
          </w:tcPr>
          <w:p w:rsidR="009E547D" w:rsidRDefault="009E547D">
            <w:pPr>
              <w:jc w:val="right"/>
              <w:rPr>
                <w:rFonts w:ascii="Arial" w:hAnsi="Arial" w:cs="Arial"/>
                <w:b/>
                <w:bCs/>
                <w:color w:val="000000"/>
                <w:sz w:val="12"/>
                <w:szCs w:val="12"/>
              </w:rPr>
            </w:pPr>
            <w:r>
              <w:rPr>
                <w:rFonts w:ascii="Arial" w:hAnsi="Arial" w:cs="Arial"/>
                <w:b/>
                <w:bCs/>
                <w:color w:val="000000"/>
                <w:sz w:val="12"/>
                <w:szCs w:val="12"/>
              </w:rPr>
              <w:t>25 634 140</w:t>
            </w:r>
          </w:p>
        </w:tc>
        <w:tc>
          <w:tcPr>
            <w:tcW w:w="918" w:type="dxa"/>
            <w:tcBorders>
              <w:top w:val="nil"/>
              <w:left w:val="nil"/>
              <w:bottom w:val="single" w:sz="8" w:space="0" w:color="6C6C6C"/>
              <w:right w:val="single" w:sz="8" w:space="0" w:color="6C6C6C"/>
            </w:tcBorders>
            <w:shd w:val="clear" w:color="000000" w:fill="F0E68C"/>
            <w:vAlign w:val="center"/>
            <w:hideMark/>
          </w:tcPr>
          <w:p w:rsidR="009E547D" w:rsidRDefault="009E547D">
            <w:pPr>
              <w:jc w:val="right"/>
              <w:rPr>
                <w:rFonts w:ascii="Arial" w:hAnsi="Arial" w:cs="Arial"/>
                <w:b/>
                <w:bCs/>
                <w:color w:val="000000"/>
                <w:sz w:val="12"/>
                <w:szCs w:val="12"/>
              </w:rPr>
            </w:pPr>
            <w:r>
              <w:rPr>
                <w:rFonts w:ascii="Arial" w:hAnsi="Arial" w:cs="Arial"/>
                <w:b/>
                <w:bCs/>
                <w:color w:val="000000"/>
                <w:sz w:val="12"/>
                <w:szCs w:val="12"/>
              </w:rPr>
              <w:t>19 261 600</w:t>
            </w:r>
          </w:p>
        </w:tc>
        <w:tc>
          <w:tcPr>
            <w:tcW w:w="918" w:type="dxa"/>
            <w:tcBorders>
              <w:top w:val="nil"/>
              <w:left w:val="nil"/>
              <w:bottom w:val="single" w:sz="8" w:space="0" w:color="6C6C6C"/>
              <w:right w:val="single" w:sz="8" w:space="0" w:color="6C6C6C"/>
            </w:tcBorders>
            <w:shd w:val="clear" w:color="000000" w:fill="F0E68C"/>
            <w:vAlign w:val="center"/>
            <w:hideMark/>
          </w:tcPr>
          <w:p w:rsidR="009E547D" w:rsidRDefault="009E547D">
            <w:pPr>
              <w:jc w:val="right"/>
              <w:rPr>
                <w:rFonts w:ascii="Arial" w:hAnsi="Arial" w:cs="Arial"/>
                <w:b/>
                <w:bCs/>
                <w:color w:val="000000"/>
                <w:sz w:val="12"/>
                <w:szCs w:val="12"/>
              </w:rPr>
            </w:pPr>
            <w:r>
              <w:rPr>
                <w:rFonts w:ascii="Arial" w:hAnsi="Arial" w:cs="Arial"/>
                <w:b/>
                <w:bCs/>
                <w:color w:val="000000"/>
                <w:sz w:val="12"/>
                <w:szCs w:val="12"/>
              </w:rPr>
              <w:t>19 251 600</w:t>
            </w:r>
          </w:p>
        </w:tc>
        <w:tc>
          <w:tcPr>
            <w:tcW w:w="875" w:type="dxa"/>
            <w:tcBorders>
              <w:top w:val="nil"/>
              <w:left w:val="nil"/>
              <w:bottom w:val="single" w:sz="8" w:space="0" w:color="6C6C6C"/>
              <w:right w:val="single" w:sz="8" w:space="0" w:color="6C6C6C"/>
            </w:tcBorders>
            <w:shd w:val="clear" w:color="000000" w:fill="F0E68C"/>
            <w:vAlign w:val="center"/>
            <w:hideMark/>
          </w:tcPr>
          <w:p w:rsidR="009E547D" w:rsidRDefault="009E547D">
            <w:pPr>
              <w:jc w:val="right"/>
              <w:rPr>
                <w:rFonts w:ascii="Arial" w:hAnsi="Arial" w:cs="Arial"/>
                <w:b/>
                <w:bCs/>
                <w:color w:val="000000"/>
                <w:sz w:val="12"/>
                <w:szCs w:val="12"/>
              </w:rPr>
            </w:pPr>
            <w:r>
              <w:rPr>
                <w:rFonts w:ascii="Arial" w:hAnsi="Arial" w:cs="Arial"/>
                <w:b/>
                <w:bCs/>
                <w:color w:val="000000"/>
                <w:sz w:val="12"/>
                <w:szCs w:val="12"/>
              </w:rPr>
              <w:t>78 726,54</w:t>
            </w:r>
          </w:p>
        </w:tc>
      </w:tr>
      <w:tr w:rsidR="009E547D" w:rsidTr="007B78B2">
        <w:trPr>
          <w:trHeight w:val="34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2019</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Plzeň 2015 - neinvestiční náklady na provoz a činnost společnosti v roce 2019</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12 600 000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12 600 000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52"/>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ÚMO 3</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2019</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Realizace festivalu světla BLIK </w:t>
            </w:r>
            <w:proofErr w:type="spellStart"/>
            <w:r>
              <w:rPr>
                <w:rFonts w:ascii="Arial" w:hAnsi="Arial" w:cs="Arial"/>
                <w:color w:val="000000"/>
                <w:sz w:val="12"/>
                <w:szCs w:val="12"/>
              </w:rPr>
              <w:t>BLIK</w:t>
            </w:r>
            <w:proofErr w:type="spellEnd"/>
            <w:r>
              <w:rPr>
                <w:rFonts w:ascii="Arial" w:hAnsi="Arial" w:cs="Arial"/>
                <w:color w:val="000000"/>
                <w:sz w:val="12"/>
                <w:szCs w:val="12"/>
              </w:rPr>
              <w:t xml:space="preserve"> 2019</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34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ÚMO 3</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2019</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Realizace interaktivní expozice JÁ, HRDINA, spojené s doprovodným programem pro děti a mládež</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34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2019</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Plzeň 2015 - neinvestiční dotace na provoz a činnost společnosti v roce 2019</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1 250 000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28"/>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2019</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Plzeň 2015 - investiční dotace na pořízení audio vybavení</w:t>
            </w:r>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750 000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40"/>
        </w:trPr>
        <w:tc>
          <w:tcPr>
            <w:tcW w:w="699" w:type="dxa"/>
            <w:tcBorders>
              <w:top w:val="nil"/>
              <w:left w:val="single" w:sz="8" w:space="0" w:color="6C6C6C"/>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MMP-OK</w:t>
            </w:r>
          </w:p>
        </w:tc>
        <w:tc>
          <w:tcPr>
            <w:tcW w:w="479"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2019</w:t>
            </w:r>
          </w:p>
        </w:tc>
        <w:tc>
          <w:tcPr>
            <w:tcW w:w="4709" w:type="dxa"/>
            <w:tcBorders>
              <w:top w:val="nil"/>
              <w:left w:val="nil"/>
              <w:bottom w:val="single" w:sz="8" w:space="0" w:color="6C6C6C"/>
              <w:right w:val="single" w:sz="8" w:space="0" w:color="6C6C6C"/>
            </w:tcBorders>
            <w:shd w:val="clear" w:color="auto" w:fill="auto"/>
            <w:vAlign w:val="center"/>
            <w:hideMark/>
          </w:tcPr>
          <w:p w:rsidR="009E547D" w:rsidRDefault="009E547D">
            <w:pPr>
              <w:rPr>
                <w:rFonts w:ascii="Arial" w:hAnsi="Arial" w:cs="Arial"/>
                <w:color w:val="000000"/>
                <w:sz w:val="12"/>
                <w:szCs w:val="12"/>
              </w:rPr>
            </w:pPr>
            <w:r>
              <w:rPr>
                <w:rFonts w:ascii="Arial" w:hAnsi="Arial" w:cs="Arial"/>
                <w:color w:val="000000"/>
                <w:sz w:val="12"/>
                <w:szCs w:val="12"/>
              </w:rPr>
              <w:t xml:space="preserve">KULT-Z/3 - Plzeň </w:t>
            </w:r>
            <w:proofErr w:type="gramStart"/>
            <w:r>
              <w:rPr>
                <w:rFonts w:ascii="Arial" w:hAnsi="Arial" w:cs="Arial"/>
                <w:color w:val="000000"/>
                <w:sz w:val="12"/>
                <w:szCs w:val="12"/>
              </w:rPr>
              <w:t xml:space="preserve">2015, z. </w:t>
            </w:r>
            <w:proofErr w:type="spellStart"/>
            <w:r>
              <w:rPr>
                <w:rFonts w:ascii="Arial" w:hAnsi="Arial" w:cs="Arial"/>
                <w:color w:val="000000"/>
                <w:sz w:val="12"/>
                <w:szCs w:val="12"/>
              </w:rPr>
              <w:t>ú.</w:t>
            </w:r>
            <w:proofErr w:type="spellEnd"/>
            <w:proofErr w:type="gramEnd"/>
          </w:p>
        </w:tc>
        <w:tc>
          <w:tcPr>
            <w:tcW w:w="681" w:type="dxa"/>
            <w:tcBorders>
              <w:top w:val="nil"/>
              <w:left w:val="nil"/>
              <w:bottom w:val="single" w:sz="8" w:space="0" w:color="6C6C6C"/>
              <w:right w:val="single" w:sz="8" w:space="0" w:color="6C6C6C"/>
            </w:tcBorders>
            <w:shd w:val="clear" w:color="auto" w:fill="auto"/>
            <w:vAlign w:val="center"/>
            <w:hideMark/>
          </w:tcPr>
          <w:p w:rsidR="009E547D" w:rsidRDefault="009E547D">
            <w:pPr>
              <w:jc w:val="center"/>
              <w:rPr>
                <w:rFonts w:ascii="Arial" w:hAnsi="Arial" w:cs="Arial"/>
                <w:color w:val="000000"/>
                <w:sz w:val="12"/>
                <w:szCs w:val="12"/>
              </w:rPr>
            </w:pPr>
            <w:r>
              <w:rPr>
                <w:rFonts w:ascii="Arial" w:hAnsi="Arial" w:cs="Arial"/>
                <w:color w:val="000000"/>
                <w:sz w:val="12"/>
                <w:szCs w:val="12"/>
              </w:rPr>
              <w:t>Ne</w:t>
            </w:r>
          </w:p>
        </w:tc>
        <w:tc>
          <w:tcPr>
            <w:tcW w:w="917"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3 340 000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1 700 000</w:t>
            </w:r>
          </w:p>
        </w:tc>
        <w:tc>
          <w:tcPr>
            <w:tcW w:w="918"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c>
          <w:tcPr>
            <w:tcW w:w="875" w:type="dxa"/>
            <w:tcBorders>
              <w:top w:val="nil"/>
              <w:left w:val="nil"/>
              <w:bottom w:val="single" w:sz="8" w:space="0" w:color="6C6C6C"/>
              <w:right w:val="single" w:sz="8" w:space="0" w:color="6C6C6C"/>
            </w:tcBorders>
            <w:shd w:val="clear" w:color="auto" w:fill="auto"/>
            <w:vAlign w:val="center"/>
            <w:hideMark/>
          </w:tcPr>
          <w:p w:rsidR="009E547D" w:rsidRDefault="009E547D">
            <w:pPr>
              <w:jc w:val="right"/>
              <w:rPr>
                <w:rFonts w:ascii="Arial" w:hAnsi="Arial" w:cs="Arial"/>
                <w:color w:val="000000"/>
                <w:sz w:val="12"/>
                <w:szCs w:val="12"/>
              </w:rPr>
            </w:pPr>
            <w:r>
              <w:rPr>
                <w:rFonts w:ascii="Arial" w:hAnsi="Arial" w:cs="Arial"/>
                <w:color w:val="000000"/>
                <w:sz w:val="12"/>
                <w:szCs w:val="12"/>
              </w:rPr>
              <w:t>0</w:t>
            </w:r>
          </w:p>
        </w:tc>
      </w:tr>
      <w:tr w:rsidR="009E547D" w:rsidTr="007B78B2">
        <w:trPr>
          <w:trHeight w:val="216"/>
        </w:trPr>
        <w:tc>
          <w:tcPr>
            <w:tcW w:w="6568" w:type="dxa"/>
            <w:gridSpan w:val="4"/>
            <w:tcBorders>
              <w:top w:val="single" w:sz="8" w:space="0" w:color="6C6C6C"/>
              <w:left w:val="single" w:sz="8" w:space="0" w:color="6C6C6C"/>
              <w:bottom w:val="single" w:sz="8" w:space="0" w:color="6C6C6C"/>
              <w:right w:val="single" w:sz="8" w:space="0" w:color="6C6C6C"/>
            </w:tcBorders>
            <w:shd w:val="clear" w:color="000000" w:fill="F0E68C"/>
            <w:vAlign w:val="center"/>
            <w:hideMark/>
          </w:tcPr>
          <w:p w:rsidR="009E547D" w:rsidRDefault="009E547D">
            <w:pPr>
              <w:rPr>
                <w:rFonts w:ascii="Arial" w:hAnsi="Arial" w:cs="Arial"/>
                <w:b/>
                <w:bCs/>
                <w:color w:val="000000"/>
                <w:sz w:val="12"/>
                <w:szCs w:val="12"/>
              </w:rPr>
            </w:pPr>
            <w:r>
              <w:rPr>
                <w:rFonts w:ascii="Arial" w:hAnsi="Arial" w:cs="Arial"/>
                <w:b/>
                <w:bCs/>
                <w:color w:val="000000"/>
                <w:sz w:val="12"/>
                <w:szCs w:val="12"/>
              </w:rPr>
              <w:t>Suma 2019</w:t>
            </w:r>
          </w:p>
        </w:tc>
        <w:tc>
          <w:tcPr>
            <w:tcW w:w="917" w:type="dxa"/>
            <w:tcBorders>
              <w:top w:val="nil"/>
              <w:left w:val="nil"/>
              <w:bottom w:val="single" w:sz="8" w:space="0" w:color="6C6C6C"/>
              <w:right w:val="single" w:sz="8" w:space="0" w:color="6C6C6C"/>
            </w:tcBorders>
            <w:shd w:val="clear" w:color="000000" w:fill="F0E68C"/>
            <w:vAlign w:val="center"/>
            <w:hideMark/>
          </w:tcPr>
          <w:p w:rsidR="009E547D" w:rsidRDefault="009E547D">
            <w:pPr>
              <w:jc w:val="right"/>
              <w:rPr>
                <w:rFonts w:ascii="Arial" w:hAnsi="Arial" w:cs="Arial"/>
                <w:b/>
                <w:bCs/>
                <w:color w:val="000000"/>
                <w:sz w:val="12"/>
                <w:szCs w:val="12"/>
              </w:rPr>
            </w:pPr>
            <w:r>
              <w:rPr>
                <w:rFonts w:ascii="Arial" w:hAnsi="Arial" w:cs="Arial"/>
                <w:b/>
                <w:bCs/>
                <w:color w:val="000000"/>
                <w:sz w:val="12"/>
                <w:szCs w:val="12"/>
              </w:rPr>
              <w:t>18 140 000</w:t>
            </w:r>
          </w:p>
        </w:tc>
        <w:tc>
          <w:tcPr>
            <w:tcW w:w="918" w:type="dxa"/>
            <w:tcBorders>
              <w:top w:val="nil"/>
              <w:left w:val="nil"/>
              <w:bottom w:val="single" w:sz="8" w:space="0" w:color="6C6C6C"/>
              <w:right w:val="single" w:sz="8" w:space="0" w:color="6C6C6C"/>
            </w:tcBorders>
            <w:shd w:val="clear" w:color="000000" w:fill="F0E68C"/>
            <w:vAlign w:val="center"/>
            <w:hideMark/>
          </w:tcPr>
          <w:p w:rsidR="009E547D" w:rsidRDefault="009E547D">
            <w:pPr>
              <w:jc w:val="right"/>
              <w:rPr>
                <w:rFonts w:ascii="Arial" w:hAnsi="Arial" w:cs="Arial"/>
                <w:b/>
                <w:bCs/>
                <w:color w:val="000000"/>
                <w:sz w:val="12"/>
                <w:szCs w:val="12"/>
              </w:rPr>
            </w:pPr>
            <w:r>
              <w:rPr>
                <w:rFonts w:ascii="Arial" w:hAnsi="Arial" w:cs="Arial"/>
                <w:b/>
                <w:bCs/>
                <w:color w:val="000000"/>
                <w:sz w:val="12"/>
                <w:szCs w:val="12"/>
              </w:rPr>
              <w:t>14 300 000</w:t>
            </w:r>
          </w:p>
        </w:tc>
        <w:tc>
          <w:tcPr>
            <w:tcW w:w="918" w:type="dxa"/>
            <w:tcBorders>
              <w:top w:val="nil"/>
              <w:left w:val="nil"/>
              <w:bottom w:val="single" w:sz="8" w:space="0" w:color="6C6C6C"/>
              <w:right w:val="single" w:sz="8" w:space="0" w:color="6C6C6C"/>
            </w:tcBorders>
            <w:shd w:val="clear" w:color="000000" w:fill="F0E68C"/>
            <w:vAlign w:val="center"/>
            <w:hideMark/>
          </w:tcPr>
          <w:p w:rsidR="009E547D" w:rsidRDefault="009E547D">
            <w:pPr>
              <w:jc w:val="right"/>
              <w:rPr>
                <w:rFonts w:ascii="Arial" w:hAnsi="Arial" w:cs="Arial"/>
                <w:b/>
                <w:bCs/>
                <w:color w:val="000000"/>
                <w:sz w:val="12"/>
                <w:szCs w:val="12"/>
              </w:rPr>
            </w:pPr>
            <w:r>
              <w:rPr>
                <w:rFonts w:ascii="Arial" w:hAnsi="Arial" w:cs="Arial"/>
                <w:b/>
                <w:bCs/>
                <w:color w:val="000000"/>
                <w:sz w:val="12"/>
                <w:szCs w:val="12"/>
              </w:rPr>
              <w:t>0</w:t>
            </w:r>
          </w:p>
        </w:tc>
        <w:tc>
          <w:tcPr>
            <w:tcW w:w="875" w:type="dxa"/>
            <w:tcBorders>
              <w:top w:val="nil"/>
              <w:left w:val="nil"/>
              <w:bottom w:val="single" w:sz="8" w:space="0" w:color="6C6C6C"/>
              <w:right w:val="single" w:sz="8" w:space="0" w:color="6C6C6C"/>
            </w:tcBorders>
            <w:shd w:val="clear" w:color="000000" w:fill="F0E68C"/>
            <w:vAlign w:val="center"/>
            <w:hideMark/>
          </w:tcPr>
          <w:p w:rsidR="009E547D" w:rsidRDefault="009E547D">
            <w:pPr>
              <w:jc w:val="right"/>
              <w:rPr>
                <w:rFonts w:ascii="Arial" w:hAnsi="Arial" w:cs="Arial"/>
                <w:b/>
                <w:bCs/>
                <w:color w:val="000000"/>
                <w:sz w:val="12"/>
                <w:szCs w:val="12"/>
              </w:rPr>
            </w:pPr>
            <w:r>
              <w:rPr>
                <w:rFonts w:ascii="Arial" w:hAnsi="Arial" w:cs="Arial"/>
                <w:b/>
                <w:bCs/>
                <w:color w:val="000000"/>
                <w:sz w:val="12"/>
                <w:szCs w:val="12"/>
              </w:rPr>
              <w:t>0</w:t>
            </w:r>
          </w:p>
        </w:tc>
      </w:tr>
      <w:tr w:rsidR="009E547D" w:rsidRPr="009E547D" w:rsidTr="007B78B2">
        <w:trPr>
          <w:trHeight w:val="240"/>
        </w:trPr>
        <w:tc>
          <w:tcPr>
            <w:tcW w:w="6568" w:type="dxa"/>
            <w:gridSpan w:val="4"/>
            <w:tcBorders>
              <w:top w:val="single" w:sz="8" w:space="0" w:color="6C6C6C"/>
              <w:left w:val="single" w:sz="8" w:space="0" w:color="6C6C6C"/>
              <w:bottom w:val="single" w:sz="8" w:space="0" w:color="6C6C6C"/>
              <w:right w:val="single" w:sz="8" w:space="0" w:color="6C6C6C"/>
            </w:tcBorders>
            <w:shd w:val="clear" w:color="auto" w:fill="FDE9D9" w:themeFill="accent6" w:themeFillTint="33"/>
            <w:vAlign w:val="center"/>
            <w:hideMark/>
          </w:tcPr>
          <w:p w:rsidR="009E547D" w:rsidRPr="009E547D" w:rsidRDefault="009E547D">
            <w:pPr>
              <w:rPr>
                <w:rFonts w:ascii="Arial" w:hAnsi="Arial" w:cs="Arial"/>
                <w:b/>
                <w:bCs/>
                <w:color w:val="000000"/>
                <w:sz w:val="14"/>
                <w:szCs w:val="12"/>
              </w:rPr>
            </w:pPr>
            <w:r w:rsidRPr="009E547D">
              <w:rPr>
                <w:rFonts w:ascii="Arial" w:hAnsi="Arial" w:cs="Arial"/>
                <w:b/>
                <w:bCs/>
                <w:color w:val="000000"/>
                <w:sz w:val="14"/>
                <w:szCs w:val="12"/>
              </w:rPr>
              <w:t>Suma 2017 - 2019</w:t>
            </w:r>
          </w:p>
        </w:tc>
        <w:tc>
          <w:tcPr>
            <w:tcW w:w="917" w:type="dxa"/>
            <w:tcBorders>
              <w:top w:val="nil"/>
              <w:left w:val="nil"/>
              <w:bottom w:val="single" w:sz="8" w:space="0" w:color="6C6C6C"/>
              <w:right w:val="single" w:sz="8" w:space="0" w:color="6C6C6C"/>
            </w:tcBorders>
            <w:shd w:val="clear" w:color="auto" w:fill="FDE9D9" w:themeFill="accent6" w:themeFillTint="33"/>
            <w:vAlign w:val="center"/>
            <w:hideMark/>
          </w:tcPr>
          <w:p w:rsidR="009E547D" w:rsidRPr="009E547D" w:rsidRDefault="009E547D">
            <w:pPr>
              <w:jc w:val="right"/>
              <w:rPr>
                <w:rFonts w:ascii="Arial" w:hAnsi="Arial" w:cs="Arial"/>
                <w:b/>
                <w:bCs/>
                <w:color w:val="000000"/>
                <w:sz w:val="14"/>
                <w:szCs w:val="12"/>
              </w:rPr>
            </w:pPr>
            <w:r w:rsidRPr="009E547D">
              <w:rPr>
                <w:rFonts w:ascii="Arial" w:hAnsi="Arial" w:cs="Arial"/>
                <w:b/>
                <w:bCs/>
                <w:color w:val="000000"/>
                <w:sz w:val="14"/>
                <w:szCs w:val="12"/>
              </w:rPr>
              <w:t>61 883 140</w:t>
            </w:r>
          </w:p>
        </w:tc>
        <w:tc>
          <w:tcPr>
            <w:tcW w:w="918" w:type="dxa"/>
            <w:tcBorders>
              <w:top w:val="nil"/>
              <w:left w:val="nil"/>
              <w:bottom w:val="single" w:sz="8" w:space="0" w:color="6C6C6C"/>
              <w:right w:val="single" w:sz="8" w:space="0" w:color="6C6C6C"/>
            </w:tcBorders>
            <w:shd w:val="clear" w:color="auto" w:fill="FDE9D9" w:themeFill="accent6" w:themeFillTint="33"/>
            <w:vAlign w:val="center"/>
            <w:hideMark/>
          </w:tcPr>
          <w:p w:rsidR="009E547D" w:rsidRPr="009E547D" w:rsidRDefault="009E547D">
            <w:pPr>
              <w:jc w:val="right"/>
              <w:rPr>
                <w:rFonts w:ascii="Arial" w:hAnsi="Arial" w:cs="Arial"/>
                <w:b/>
                <w:bCs/>
                <w:color w:val="000000"/>
                <w:sz w:val="14"/>
                <w:szCs w:val="12"/>
              </w:rPr>
            </w:pPr>
            <w:r w:rsidRPr="009E547D">
              <w:rPr>
                <w:rFonts w:ascii="Arial" w:hAnsi="Arial" w:cs="Arial"/>
                <w:b/>
                <w:bCs/>
                <w:color w:val="000000"/>
                <w:sz w:val="14"/>
                <w:szCs w:val="12"/>
              </w:rPr>
              <w:t>49 951 600</w:t>
            </w:r>
          </w:p>
        </w:tc>
        <w:tc>
          <w:tcPr>
            <w:tcW w:w="918" w:type="dxa"/>
            <w:tcBorders>
              <w:top w:val="nil"/>
              <w:left w:val="nil"/>
              <w:bottom w:val="single" w:sz="8" w:space="0" w:color="6C6C6C"/>
              <w:right w:val="single" w:sz="8" w:space="0" w:color="6C6C6C"/>
            </w:tcBorders>
            <w:shd w:val="clear" w:color="auto" w:fill="FDE9D9" w:themeFill="accent6" w:themeFillTint="33"/>
            <w:vAlign w:val="center"/>
            <w:hideMark/>
          </w:tcPr>
          <w:p w:rsidR="009E547D" w:rsidRPr="009E547D" w:rsidRDefault="009E547D">
            <w:pPr>
              <w:jc w:val="right"/>
              <w:rPr>
                <w:rFonts w:ascii="Arial" w:hAnsi="Arial" w:cs="Arial"/>
                <w:b/>
                <w:bCs/>
                <w:color w:val="000000"/>
                <w:sz w:val="14"/>
                <w:szCs w:val="12"/>
              </w:rPr>
            </w:pPr>
            <w:r w:rsidRPr="009E547D">
              <w:rPr>
                <w:rFonts w:ascii="Arial" w:hAnsi="Arial" w:cs="Arial"/>
                <w:b/>
                <w:bCs/>
                <w:color w:val="000000"/>
                <w:sz w:val="14"/>
                <w:szCs w:val="12"/>
              </w:rPr>
              <w:t>35 641 600</w:t>
            </w:r>
          </w:p>
        </w:tc>
        <w:tc>
          <w:tcPr>
            <w:tcW w:w="875" w:type="dxa"/>
            <w:tcBorders>
              <w:top w:val="nil"/>
              <w:left w:val="nil"/>
              <w:bottom w:val="single" w:sz="8" w:space="0" w:color="6C6C6C"/>
              <w:right w:val="single" w:sz="8" w:space="0" w:color="6C6C6C"/>
            </w:tcBorders>
            <w:shd w:val="clear" w:color="auto" w:fill="FDE9D9" w:themeFill="accent6" w:themeFillTint="33"/>
            <w:vAlign w:val="center"/>
            <w:hideMark/>
          </w:tcPr>
          <w:p w:rsidR="009E547D" w:rsidRPr="009E547D" w:rsidRDefault="009E547D">
            <w:pPr>
              <w:jc w:val="right"/>
              <w:rPr>
                <w:rFonts w:ascii="Arial" w:hAnsi="Arial" w:cs="Arial"/>
                <w:b/>
                <w:bCs/>
                <w:color w:val="000000"/>
                <w:sz w:val="14"/>
                <w:szCs w:val="12"/>
              </w:rPr>
            </w:pPr>
            <w:r w:rsidRPr="009E547D">
              <w:rPr>
                <w:rFonts w:ascii="Arial" w:hAnsi="Arial" w:cs="Arial"/>
                <w:b/>
                <w:bCs/>
                <w:color w:val="000000"/>
                <w:sz w:val="14"/>
                <w:szCs w:val="12"/>
              </w:rPr>
              <w:t>140 811,73</w:t>
            </w:r>
          </w:p>
        </w:tc>
      </w:tr>
    </w:tbl>
    <w:p w:rsidR="00DD65AC" w:rsidRPr="00617306" w:rsidRDefault="0015352B" w:rsidP="000B7BE7">
      <w:pPr>
        <w:pStyle w:val="ostzahl"/>
      </w:pPr>
      <w:r w:rsidRPr="00617306">
        <w:t>Předpokládaný cílový stav</w:t>
      </w:r>
    </w:p>
    <w:p w:rsidR="00BA654B" w:rsidRDefault="00F03C77" w:rsidP="00A311AF">
      <w:pPr>
        <w:pStyle w:val="Paragrafneslovan"/>
        <w:rPr>
          <w:szCs w:val="24"/>
        </w:rPr>
      </w:pPr>
      <w:r>
        <w:t xml:space="preserve">Zvýšení </w:t>
      </w:r>
      <w:r w:rsidR="00537C0B" w:rsidRPr="00617306">
        <w:t>individuální</w:t>
      </w:r>
      <w:r w:rsidR="00BA654B">
        <w:t xml:space="preserve"> dotace </w:t>
      </w:r>
      <w:r w:rsidRPr="00BA654B">
        <w:t>subjektu Plzeň 2015, zapsaný ústav (IČO 29109124), Presslova 14, 301 00 Plzeň</w:t>
      </w:r>
      <w:r>
        <w:t>, o</w:t>
      </w:r>
      <w:r w:rsidR="00BA654B">
        <w:t xml:space="preserve"> </w:t>
      </w:r>
      <w:r w:rsidR="006C1FCF" w:rsidRPr="00BA654B">
        <w:t>2</w:t>
      </w:r>
      <w:r w:rsidR="00BA654B">
        <w:t xml:space="preserve"> </w:t>
      </w:r>
      <w:r w:rsidR="00DA658A" w:rsidRPr="00BA654B">
        <w:t xml:space="preserve">mil. Kč </w:t>
      </w:r>
      <w:r w:rsidR="00BA654B" w:rsidRPr="00617306">
        <w:t>v souladu s</w:t>
      </w:r>
      <w:r w:rsidR="00BA654B">
        <w:t xml:space="preserve">e </w:t>
      </w:r>
      <w:r w:rsidR="00BA654B" w:rsidRPr="00617306">
        <w:t>žádostí,</w:t>
      </w:r>
      <w:r w:rsidR="00BA654B">
        <w:t xml:space="preserve"> </w:t>
      </w:r>
      <w:r w:rsidR="00BA654B">
        <w:rPr>
          <w:szCs w:val="24"/>
        </w:rPr>
        <w:t>a to v tomto účelovém určení:</w:t>
      </w:r>
    </w:p>
    <w:p w:rsidR="00E96C6A" w:rsidRDefault="00E96C6A" w:rsidP="009241E2">
      <w:pPr>
        <w:pStyle w:val="Paragrafneslovan"/>
        <w:ind w:left="284" w:hanging="284"/>
      </w:pPr>
      <w:r>
        <w:t>- 1,25 mil. Kč</w:t>
      </w:r>
      <w:r w:rsidRPr="0085056C">
        <w:t xml:space="preserve"> </w:t>
      </w:r>
      <w:r>
        <w:t xml:space="preserve">neinvestiční dotace </w:t>
      </w:r>
      <w:r w:rsidRPr="0085056C">
        <w:t xml:space="preserve">na úhradu nezbytných </w:t>
      </w:r>
      <w:r>
        <w:t xml:space="preserve">neinvestičních </w:t>
      </w:r>
      <w:r w:rsidRPr="0085056C">
        <w:t>nákladů společnosti spojených se zajištěním jejího provozu a s realizací kultu</w:t>
      </w:r>
      <w:r w:rsidR="00D274A7">
        <w:t>rního a uměleckého programu pro </w:t>
      </w:r>
      <w:r w:rsidRPr="0085056C">
        <w:t xml:space="preserve">rok 2019, </w:t>
      </w:r>
    </w:p>
    <w:p w:rsidR="00617306" w:rsidRDefault="00E96C6A" w:rsidP="008736B0">
      <w:pPr>
        <w:pStyle w:val="vlevo"/>
      </w:pPr>
      <w:r>
        <w:t>- 0,75 mil. Kč investiční dotace na nákup audio vybavení.</w:t>
      </w:r>
    </w:p>
    <w:p w:rsidR="00DD65AC" w:rsidRPr="00617306" w:rsidRDefault="0015352B" w:rsidP="000B7BE7">
      <w:pPr>
        <w:pStyle w:val="ostzahl"/>
      </w:pPr>
      <w:r w:rsidRPr="00617306">
        <w:t>Navrhované varianty řešení</w:t>
      </w:r>
    </w:p>
    <w:p w:rsidR="00DD0D28" w:rsidRDefault="00DA658A" w:rsidP="008736B0">
      <w:pPr>
        <w:pStyle w:val="Paragrafneslovan"/>
        <w:rPr>
          <w:szCs w:val="24"/>
        </w:rPr>
      </w:pPr>
      <w:r w:rsidRPr="00617306">
        <w:t xml:space="preserve">RMP </w:t>
      </w:r>
      <w:r w:rsidR="00B31495">
        <w:t>d</w:t>
      </w:r>
      <w:r w:rsidRPr="00617306">
        <w:t>oporuč</w:t>
      </w:r>
      <w:r w:rsidR="00B31495">
        <w:t xml:space="preserve">uje </w:t>
      </w:r>
      <w:r w:rsidR="00537C0B" w:rsidRPr="00617306">
        <w:t xml:space="preserve">ZMP schválit </w:t>
      </w:r>
      <w:r w:rsidR="00162A79">
        <w:t>zvýšení</w:t>
      </w:r>
      <w:r w:rsidR="00537C0B" w:rsidRPr="00617306">
        <w:t xml:space="preserve"> individuální</w:t>
      </w:r>
      <w:r w:rsidR="00DD0D28">
        <w:t xml:space="preserve"> </w:t>
      </w:r>
      <w:r w:rsidRPr="00617306">
        <w:t>dotac</w:t>
      </w:r>
      <w:r w:rsidR="00DD0D28">
        <w:t xml:space="preserve">e </w:t>
      </w:r>
      <w:r w:rsidR="009B2F52">
        <w:t xml:space="preserve">pro rok 2019 </w:t>
      </w:r>
      <w:r w:rsidR="00162A79" w:rsidRPr="00BA654B">
        <w:t>subjektu Plzeň 2015, zapsaný ústav (I</w:t>
      </w:r>
      <w:r w:rsidR="00162A79">
        <w:t>ČO 29109124), Presslova 14, 301 </w:t>
      </w:r>
      <w:r w:rsidR="009B2F52">
        <w:t>00 </w:t>
      </w:r>
      <w:r w:rsidR="00162A79" w:rsidRPr="00BA654B">
        <w:t>Plzeň,</w:t>
      </w:r>
      <w:r w:rsidR="00162A79">
        <w:t xml:space="preserve"> o</w:t>
      </w:r>
      <w:r w:rsidR="00DD0D28">
        <w:t xml:space="preserve"> </w:t>
      </w:r>
      <w:r w:rsidR="00DD0D28" w:rsidRPr="00BA654B">
        <w:t>2</w:t>
      </w:r>
      <w:r w:rsidR="00DD0D28">
        <w:t xml:space="preserve"> </w:t>
      </w:r>
      <w:r w:rsidR="00DD0D28" w:rsidRPr="00BA654B">
        <w:t xml:space="preserve">mil. Kč </w:t>
      </w:r>
      <w:r w:rsidR="00DD0D28" w:rsidRPr="00617306">
        <w:t>v souladu s</w:t>
      </w:r>
      <w:r w:rsidR="00DF0823">
        <w:t>e </w:t>
      </w:r>
      <w:bookmarkStart w:id="0" w:name="_GoBack"/>
      <w:bookmarkEnd w:id="0"/>
      <w:r w:rsidR="00DD0D28" w:rsidRPr="00617306">
        <w:t>žádostí,</w:t>
      </w:r>
      <w:r w:rsidR="00DD0D28">
        <w:t xml:space="preserve"> </w:t>
      </w:r>
      <w:r w:rsidR="00DD0D28">
        <w:rPr>
          <w:szCs w:val="24"/>
        </w:rPr>
        <w:t>a to v tomto účelovém určení:</w:t>
      </w:r>
    </w:p>
    <w:p w:rsidR="00E96C6A" w:rsidRDefault="00E96C6A" w:rsidP="008C7880">
      <w:pPr>
        <w:pStyle w:val="Paragrafneslovan"/>
        <w:ind w:left="142" w:hanging="142"/>
      </w:pPr>
      <w:r>
        <w:lastRenderedPageBreak/>
        <w:t>- 1,25 mil. Kč</w:t>
      </w:r>
      <w:r w:rsidRPr="0085056C">
        <w:t xml:space="preserve"> </w:t>
      </w:r>
      <w:r>
        <w:t xml:space="preserve">neinvestiční dotace </w:t>
      </w:r>
      <w:r w:rsidRPr="0085056C">
        <w:t xml:space="preserve">na úhradu nezbytných </w:t>
      </w:r>
      <w:r>
        <w:t xml:space="preserve">neinvestičních </w:t>
      </w:r>
      <w:r w:rsidRPr="0085056C">
        <w:t xml:space="preserve">nákladů společnosti spojených se zajištěním jejího provozu a s realizací kulturního a uměleckého programu pro rok 2019, </w:t>
      </w:r>
    </w:p>
    <w:p w:rsidR="00DD0D28" w:rsidRDefault="00E96C6A" w:rsidP="008736B0">
      <w:pPr>
        <w:pStyle w:val="vlevo"/>
      </w:pPr>
      <w:r>
        <w:t>- 0,75 mil. Kč investiční dotace na nákup audio vybavení.</w:t>
      </w:r>
    </w:p>
    <w:p w:rsidR="00DD65AC" w:rsidRPr="00617306" w:rsidRDefault="0015352B" w:rsidP="000B7BE7">
      <w:pPr>
        <w:pStyle w:val="ostzahl"/>
        <w:ind w:left="357" w:hanging="357"/>
      </w:pPr>
      <w:r w:rsidRPr="00617306">
        <w:t>Doporučená varianta řešení</w:t>
      </w:r>
    </w:p>
    <w:p w:rsidR="003F6584" w:rsidRPr="00617306" w:rsidRDefault="0015352B" w:rsidP="008736B0">
      <w:pPr>
        <w:pStyle w:val="vlevo"/>
      </w:pPr>
      <w:r w:rsidRPr="00617306">
        <w:t xml:space="preserve">Doporučená varianta je uvedena v bodě č. 4 této Důvodové zprávy. </w:t>
      </w:r>
    </w:p>
    <w:p w:rsidR="00DD65AC" w:rsidRPr="00617306" w:rsidRDefault="0015352B" w:rsidP="000B7BE7">
      <w:pPr>
        <w:pStyle w:val="ostzahl"/>
        <w:ind w:left="357" w:hanging="357"/>
      </w:pPr>
      <w:r w:rsidRPr="00617306">
        <w:t>Finanční nároky řešení a možnosti finančního krytí</w:t>
      </w:r>
    </w:p>
    <w:p w:rsidR="000B7BE7" w:rsidRDefault="00DD6ACD" w:rsidP="008736B0">
      <w:pPr>
        <w:pStyle w:val="vlevo"/>
      </w:pPr>
      <w:r w:rsidRPr="00DD6ACD">
        <w:t xml:space="preserve">Za účelem zajištění finančního krytí </w:t>
      </w:r>
      <w:r w:rsidR="009B2F52">
        <w:t>zvýšen</w:t>
      </w:r>
      <w:r w:rsidRPr="00DD6ACD">
        <w:t xml:space="preserve">í dotace je v rámci </w:t>
      </w:r>
      <w:r w:rsidRPr="003C56A0">
        <w:t xml:space="preserve">bodu </w:t>
      </w:r>
      <w:proofErr w:type="spellStart"/>
      <w:r w:rsidRPr="003C56A0">
        <w:t>RadS</w:t>
      </w:r>
      <w:proofErr w:type="spellEnd"/>
      <w:r w:rsidRPr="003C56A0">
        <w:t>/</w:t>
      </w:r>
      <w:r w:rsidR="003C56A0" w:rsidRPr="003C56A0">
        <w:t>1</w:t>
      </w:r>
      <w:r w:rsidR="00006DB3">
        <w:t> </w:t>
      </w:r>
      <w:r w:rsidRPr="00DD6ACD">
        <w:t xml:space="preserve">do RMP a bodu </w:t>
      </w:r>
      <w:r w:rsidRPr="003C56A0">
        <w:t>ŘEÚ/</w:t>
      </w:r>
      <w:r w:rsidR="003C56A0">
        <w:t>3</w:t>
      </w:r>
      <w:r w:rsidRPr="00DD6ACD">
        <w:t xml:space="preserve"> do ZMP</w:t>
      </w:r>
      <w:r w:rsidR="00B26CDD">
        <w:t xml:space="preserve"> </w:t>
      </w:r>
      <w:r w:rsidRPr="00DD6ACD">
        <w:t>předložen návrh na</w:t>
      </w:r>
      <w:r w:rsidR="00B26CDD">
        <w:t xml:space="preserve"> </w:t>
      </w:r>
      <w:r>
        <w:t>zvýšení</w:t>
      </w:r>
      <w:r w:rsidRPr="00DD6ACD">
        <w:t xml:space="preserve"> objemu roz</w:t>
      </w:r>
      <w:r w:rsidR="00B26CDD">
        <w:t xml:space="preserve">počtu provozních transferů jiným </w:t>
      </w:r>
      <w:r w:rsidRPr="00DD6ACD">
        <w:t>organ</w:t>
      </w:r>
      <w:r w:rsidR="00B26CDD">
        <w:t xml:space="preserve">izacím a veřejným rozpočtům OK MMP </w:t>
      </w:r>
      <w:r w:rsidRPr="00DD6ACD">
        <w:t xml:space="preserve">o částku </w:t>
      </w:r>
      <w:r>
        <w:t>1</w:t>
      </w:r>
      <w:r w:rsidR="00B26CDD">
        <w:t>,</w:t>
      </w:r>
      <w:r>
        <w:t>25</w:t>
      </w:r>
      <w:r w:rsidRPr="00DD6ACD">
        <w:t xml:space="preserve"> </w:t>
      </w:r>
      <w:r w:rsidR="00B26CDD">
        <w:t>mil</w:t>
      </w:r>
      <w:r w:rsidRPr="00DD6ACD">
        <w:t xml:space="preserve">. Kč </w:t>
      </w:r>
      <w:r w:rsidR="00EF5C50">
        <w:t xml:space="preserve">a objemu rozpočtu </w:t>
      </w:r>
      <w:r>
        <w:t>investičních transferů jin</w:t>
      </w:r>
      <w:r w:rsidR="00EF5C50">
        <w:t>ým o</w:t>
      </w:r>
      <w:r>
        <w:t>rganizacím</w:t>
      </w:r>
      <w:r w:rsidR="00EF5C50">
        <w:t xml:space="preserve"> </w:t>
      </w:r>
      <w:r>
        <w:t>a veř</w:t>
      </w:r>
      <w:r w:rsidR="00EF5C50">
        <w:t xml:space="preserve">ejným </w:t>
      </w:r>
      <w:r>
        <w:t>rozpočtům</w:t>
      </w:r>
      <w:r w:rsidR="00EF5C50">
        <w:t xml:space="preserve"> OK MMP </w:t>
      </w:r>
      <w:r>
        <w:t>o</w:t>
      </w:r>
      <w:r w:rsidR="00EF5C50">
        <w:t xml:space="preserve"> </w:t>
      </w:r>
      <w:r>
        <w:t xml:space="preserve">částku </w:t>
      </w:r>
      <w:r w:rsidR="00B26CDD">
        <w:t>0,75</w:t>
      </w:r>
      <w:r w:rsidR="00EF5C50">
        <w:t> </w:t>
      </w:r>
      <w:r w:rsidR="00B26CDD">
        <w:t>mil</w:t>
      </w:r>
      <w:r w:rsidR="00EF5C50">
        <w:t>. </w:t>
      </w:r>
      <w:r>
        <w:t>Kč</w:t>
      </w:r>
      <w:r w:rsidRPr="00DD6ACD">
        <w:t> </w:t>
      </w:r>
      <w:r>
        <w:t>v</w:t>
      </w:r>
      <w:r w:rsidR="00B26CDD">
        <w:t> </w:t>
      </w:r>
      <w:r w:rsidRPr="00DD6ACD">
        <w:t>souhrnném rozpočtovém</w:t>
      </w:r>
      <w:r w:rsidR="00EF5C50">
        <w:t xml:space="preserve"> opatření </w:t>
      </w:r>
      <w:r w:rsidRPr="00DD6ACD">
        <w:t xml:space="preserve">v souvislosti s </w:t>
      </w:r>
      <w:r>
        <w:t>rozdělením</w:t>
      </w:r>
      <w:r w:rsidRPr="00DD6ACD">
        <w:t xml:space="preserve"> volných zdrojů rozpočtu města.  </w:t>
      </w:r>
    </w:p>
    <w:p w:rsidR="00DD6ACD" w:rsidRPr="00DD6ACD" w:rsidRDefault="009B2F52" w:rsidP="008736B0">
      <w:pPr>
        <w:pStyle w:val="vlevo"/>
      </w:pPr>
      <w:r>
        <w:t>Zvýšen</w:t>
      </w:r>
      <w:r w:rsidR="00DD6ACD" w:rsidRPr="00DD6ACD">
        <w:t>í dotace je podmíněno schválení</w:t>
      </w:r>
      <w:r w:rsidR="00DD6ACD">
        <w:t>m</w:t>
      </w:r>
      <w:r w:rsidR="00DD6ACD" w:rsidRPr="00DD6ACD">
        <w:t xml:space="preserve"> předmětného rozpočtového opatření v</w:t>
      </w:r>
      <w:r w:rsidR="00B26CDD">
        <w:t> </w:t>
      </w:r>
      <w:r w:rsidR="00DD6ACD" w:rsidRPr="00DD6ACD">
        <w:t>ZMP</w:t>
      </w:r>
      <w:r w:rsidR="00B26CDD">
        <w:t xml:space="preserve"> </w:t>
      </w:r>
      <w:r w:rsidR="000B7BE7">
        <w:t>dne 7. </w:t>
      </w:r>
      <w:r>
        <w:t>2. </w:t>
      </w:r>
      <w:r w:rsidR="00B26CDD">
        <w:t>2019</w:t>
      </w:r>
      <w:r w:rsidR="00DD6ACD" w:rsidRPr="00DD6ACD">
        <w:t xml:space="preserve">. </w:t>
      </w:r>
    </w:p>
    <w:p w:rsidR="00DD65AC" w:rsidRPr="00617306" w:rsidRDefault="0015352B" w:rsidP="000B7BE7">
      <w:pPr>
        <w:pStyle w:val="ostzahl"/>
        <w:ind w:left="357" w:hanging="357"/>
      </w:pPr>
      <w:r w:rsidRPr="00617306">
        <w:t>Návrh termínů realizace a určení zodpovědných pracovníků</w:t>
      </w:r>
    </w:p>
    <w:p w:rsidR="00DD65AC" w:rsidRPr="00617306" w:rsidRDefault="0015352B" w:rsidP="008736B0">
      <w:pPr>
        <w:pStyle w:val="vlevo"/>
      </w:pPr>
      <w:r w:rsidRPr="00617306">
        <w:t>Viz ukládací část Návrhu usnesení</w:t>
      </w:r>
    </w:p>
    <w:p w:rsidR="00DD65AC" w:rsidRPr="00617306" w:rsidRDefault="0015352B" w:rsidP="000B7BE7">
      <w:pPr>
        <w:pStyle w:val="ostzahl"/>
      </w:pPr>
      <w:r w:rsidRPr="00617306">
        <w:t>Dříve přijatá usnesení orgánů města</w:t>
      </w:r>
      <w:r w:rsidR="00BA3659" w:rsidRPr="00617306">
        <w:t xml:space="preserve"> nebo městských obvodů, která s </w:t>
      </w:r>
      <w:r w:rsidRPr="00617306">
        <w:t>tímto návrhem souvisejí</w:t>
      </w:r>
    </w:p>
    <w:p w:rsidR="000A1ABC" w:rsidRDefault="00DD0D28" w:rsidP="000B7BE7">
      <w:pPr>
        <w:pStyle w:val="vlevo"/>
        <w:spacing w:after="120"/>
      </w:pPr>
      <w:r>
        <w:t>Usnesení Z</w:t>
      </w:r>
      <w:r w:rsidR="000A1ABC" w:rsidRPr="00617306">
        <w:t xml:space="preserve">MP </w:t>
      </w:r>
      <w:r>
        <w:t xml:space="preserve">č. 486 ze dne 13. 12. 2018 </w:t>
      </w:r>
      <w:r w:rsidR="000A1ABC" w:rsidRPr="00617306">
        <w:t>ve věci schválení r</w:t>
      </w:r>
      <w:r w:rsidR="00754FDB" w:rsidRPr="00617306">
        <w:t>ozp</w:t>
      </w:r>
      <w:r w:rsidR="00C6197E">
        <w:t>očtu města Plzně pro rok 2019</w:t>
      </w:r>
      <w:r w:rsidR="000B7BE7">
        <w:t xml:space="preserve"> a</w:t>
      </w:r>
      <w:r w:rsidR="00C6197E">
        <w:t> </w:t>
      </w:r>
      <w:r w:rsidR="00754FDB" w:rsidRPr="00617306">
        <w:t>rozpočtových výhledů na roky 2020</w:t>
      </w:r>
      <w:r w:rsidR="00754FDB" w:rsidRPr="00617306">
        <w:noBreakHyphen/>
        <w:t>2022</w:t>
      </w:r>
    </w:p>
    <w:p w:rsidR="00DD0D28" w:rsidRPr="00617306" w:rsidRDefault="00DD0D28" w:rsidP="008736B0">
      <w:pPr>
        <w:pStyle w:val="vlevo"/>
      </w:pPr>
      <w:r>
        <w:t>Usnesení ZMP č. 497 ze dne 13. 12. 2018 ve věci poskytnutí individuálních dotací z rozpočtu OK MMP pro rok 2019</w:t>
      </w:r>
    </w:p>
    <w:p w:rsidR="00DD65AC" w:rsidRPr="00617306" w:rsidRDefault="0015352B" w:rsidP="000B7BE7">
      <w:pPr>
        <w:pStyle w:val="ostzahl"/>
      </w:pPr>
      <w:r w:rsidRPr="00617306">
        <w:t>Závazky či pohledávky vůči městu</w:t>
      </w:r>
    </w:p>
    <w:p w:rsidR="0053358F" w:rsidRPr="00617306" w:rsidRDefault="0053358F" w:rsidP="008736B0">
      <w:pPr>
        <w:pStyle w:val="vlevo"/>
      </w:pPr>
      <w:r w:rsidRPr="00617306">
        <w:t>Nebyly zjištěny.</w:t>
      </w:r>
    </w:p>
    <w:p w:rsidR="0053358F" w:rsidRPr="00617306" w:rsidRDefault="0053358F" w:rsidP="000B7BE7">
      <w:pPr>
        <w:pStyle w:val="ostzahl"/>
        <w:ind w:hanging="502"/>
      </w:pPr>
      <w:r w:rsidRPr="00617306">
        <w:t>Přílohy</w:t>
      </w:r>
    </w:p>
    <w:p w:rsidR="00DA658A" w:rsidRDefault="00DA658A" w:rsidP="008736B0">
      <w:pPr>
        <w:pStyle w:val="vlevo"/>
        <w:numPr>
          <w:ilvl w:val="0"/>
          <w:numId w:val="18"/>
        </w:numPr>
        <w:ind w:left="426" w:hanging="284"/>
      </w:pPr>
      <w:r w:rsidRPr="00617306">
        <w:t xml:space="preserve">Žádost </w:t>
      </w:r>
      <w:r w:rsidR="00754FDB" w:rsidRPr="00617306">
        <w:t>P</w:t>
      </w:r>
      <w:r w:rsidRPr="00617306">
        <w:t>2015 o</w:t>
      </w:r>
      <w:r w:rsidR="00347465" w:rsidRPr="00617306">
        <w:t xml:space="preserve"> </w:t>
      </w:r>
      <w:r w:rsidR="00DD0D28">
        <w:t xml:space="preserve">zvýšení </w:t>
      </w:r>
      <w:r w:rsidR="00347465" w:rsidRPr="00617306">
        <w:t>individuální</w:t>
      </w:r>
      <w:r w:rsidRPr="00617306">
        <w:t xml:space="preserve"> dotac</w:t>
      </w:r>
      <w:r w:rsidR="00DD0D28">
        <w:t>e</w:t>
      </w:r>
    </w:p>
    <w:p w:rsidR="00006DB3" w:rsidRPr="00617306" w:rsidRDefault="00006DB3" w:rsidP="00006DB3">
      <w:pPr>
        <w:pStyle w:val="vlevo"/>
        <w:ind w:left="426"/>
      </w:pPr>
    </w:p>
    <w:p w:rsidR="00DA658A" w:rsidRPr="00617306" w:rsidRDefault="00DA658A" w:rsidP="008736B0">
      <w:pPr>
        <w:pStyle w:val="vlevo"/>
      </w:pPr>
    </w:p>
    <w:p w:rsidR="00DD65AC" w:rsidRPr="00617306" w:rsidRDefault="00DD65AC" w:rsidP="008736B0">
      <w:pPr>
        <w:pStyle w:val="vlevo"/>
      </w:pPr>
    </w:p>
    <w:sectPr w:rsidR="00DD65AC" w:rsidRPr="00617306" w:rsidSect="002C152C">
      <w:footerReference w:type="default" r:id="rId9"/>
      <w:pgSz w:w="11906" w:h="16838"/>
      <w:pgMar w:top="1135" w:right="1133" w:bottom="1135" w:left="1418" w:header="708" w:footer="5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E0" w:rsidRDefault="007556E0">
      <w:r>
        <w:separator/>
      </w:r>
    </w:p>
  </w:endnote>
  <w:endnote w:type="continuationSeparator" w:id="0">
    <w:p w:rsidR="007556E0" w:rsidRDefault="0075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C7" w:rsidRDefault="001175C7">
    <w:pPr>
      <w:pStyle w:val="Zpat"/>
      <w:rPr>
        <w:color w:val="C0C0C0"/>
      </w:rPr>
    </w:pPr>
    <w:r>
      <w:rPr>
        <w:color w:val="C0C0C0"/>
      </w:rPr>
      <w:t xml:space="preserve">Strana: </w:t>
    </w:r>
    <w:r>
      <w:rPr>
        <w:rStyle w:val="slostrnky"/>
        <w:color w:val="C0C0C0"/>
      </w:rPr>
      <w:fldChar w:fldCharType="begin"/>
    </w:r>
    <w:r>
      <w:rPr>
        <w:rStyle w:val="slostrnky"/>
        <w:color w:val="C0C0C0"/>
      </w:rPr>
      <w:instrText xml:space="preserve"> PAGE </w:instrText>
    </w:r>
    <w:r>
      <w:rPr>
        <w:rStyle w:val="slostrnky"/>
        <w:color w:val="C0C0C0"/>
      </w:rPr>
      <w:fldChar w:fldCharType="separate"/>
    </w:r>
    <w:r w:rsidR="00DF0823">
      <w:rPr>
        <w:rStyle w:val="slostrnky"/>
        <w:noProof/>
        <w:color w:val="C0C0C0"/>
      </w:rPr>
      <w:t>2</w:t>
    </w:r>
    <w:r>
      <w:rPr>
        <w:rStyle w:val="slostrnky"/>
        <w:color w:val="C0C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E0" w:rsidRDefault="007556E0">
      <w:r>
        <w:separator/>
      </w:r>
    </w:p>
  </w:footnote>
  <w:footnote w:type="continuationSeparator" w:id="0">
    <w:p w:rsidR="007556E0" w:rsidRDefault="00755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A38"/>
    <w:multiLevelType w:val="hybridMultilevel"/>
    <w:tmpl w:val="D1309A94"/>
    <w:lvl w:ilvl="0" w:tplc="1AA6A0E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2FA3641"/>
    <w:multiLevelType w:val="singleLevel"/>
    <w:tmpl w:val="9578AEA2"/>
    <w:lvl w:ilvl="0">
      <w:start w:val="1"/>
      <w:numFmt w:val="decimal"/>
      <w:pStyle w:val="ostzahl"/>
      <w:lvlText w:val="%1."/>
      <w:lvlJc w:val="left"/>
      <w:pPr>
        <w:tabs>
          <w:tab w:val="num" w:pos="360"/>
        </w:tabs>
        <w:ind w:left="360" w:hanging="360"/>
      </w:pPr>
      <w:rPr>
        <w:b/>
      </w:rPr>
    </w:lvl>
  </w:abstractNum>
  <w:abstractNum w:abstractNumId="2">
    <w:nsid w:val="25636F53"/>
    <w:multiLevelType w:val="hybridMultilevel"/>
    <w:tmpl w:val="E744A1AA"/>
    <w:lvl w:ilvl="0" w:tplc="EB6E86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D11C3C"/>
    <w:multiLevelType w:val="hybridMultilevel"/>
    <w:tmpl w:val="F37C8370"/>
    <w:lvl w:ilvl="0" w:tplc="7AC07344">
      <w:start w:val="1"/>
      <w:numFmt w:val="decimal"/>
      <w:lvlText w:val="%1."/>
      <w:lvlJc w:val="left"/>
      <w:pPr>
        <w:tabs>
          <w:tab w:val="num" w:pos="720"/>
        </w:tabs>
        <w:ind w:left="720" w:hanging="360"/>
      </w:pPr>
      <w:rPr>
        <w:rFonts w:hint="default"/>
      </w:rPr>
    </w:lvl>
    <w:lvl w:ilvl="1" w:tplc="6F2675BC">
      <w:start w:val="1"/>
      <w:numFmt w:val="lowerLetter"/>
      <w:lvlText w:val="%2)"/>
      <w:lvlJc w:val="left"/>
      <w:pPr>
        <w:tabs>
          <w:tab w:val="num" w:pos="720"/>
        </w:tabs>
        <w:ind w:left="72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E1B7E93"/>
    <w:multiLevelType w:val="hybridMultilevel"/>
    <w:tmpl w:val="7D0A73CC"/>
    <w:lvl w:ilvl="0" w:tplc="83D61B1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D245FC"/>
    <w:multiLevelType w:val="hybridMultilevel"/>
    <w:tmpl w:val="F1585328"/>
    <w:lvl w:ilvl="0" w:tplc="30105396">
      <w:start w:val="1"/>
      <w:numFmt w:val="lowerLetter"/>
      <w:lvlText w:val="%1)"/>
      <w:lvlJc w:val="left"/>
      <w:pPr>
        <w:tabs>
          <w:tab w:val="num" w:pos="1116"/>
        </w:tabs>
        <w:ind w:left="1116" w:hanging="69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6">
    <w:nsid w:val="43AE1EE3"/>
    <w:multiLevelType w:val="hybridMultilevel"/>
    <w:tmpl w:val="BDB66D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88605D1"/>
    <w:multiLevelType w:val="hybridMultilevel"/>
    <w:tmpl w:val="BCF45E24"/>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5A7D3D5E"/>
    <w:multiLevelType w:val="hybridMultilevel"/>
    <w:tmpl w:val="2278B286"/>
    <w:lvl w:ilvl="0" w:tplc="ED7EB6B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B7A2FD4"/>
    <w:multiLevelType w:val="singleLevel"/>
    <w:tmpl w:val="EFAE8D94"/>
    <w:lvl w:ilvl="0">
      <w:start w:val="1"/>
      <w:numFmt w:val="decimal"/>
      <w:lvlText w:val="%1."/>
      <w:lvlJc w:val="left"/>
      <w:pPr>
        <w:tabs>
          <w:tab w:val="num" w:pos="360"/>
        </w:tabs>
        <w:ind w:left="357" w:hanging="357"/>
      </w:pPr>
    </w:lvl>
  </w:abstractNum>
  <w:abstractNum w:abstractNumId="10">
    <w:nsid w:val="5BDA7BAB"/>
    <w:multiLevelType w:val="hybridMultilevel"/>
    <w:tmpl w:val="3E48C6AE"/>
    <w:lvl w:ilvl="0" w:tplc="EB6E86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BE240FE"/>
    <w:multiLevelType w:val="hybridMultilevel"/>
    <w:tmpl w:val="5F385E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C1D6414"/>
    <w:multiLevelType w:val="hybridMultilevel"/>
    <w:tmpl w:val="5F385E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9D0A33"/>
    <w:multiLevelType w:val="hybridMultilevel"/>
    <w:tmpl w:val="E806E1FA"/>
    <w:lvl w:ilvl="0" w:tplc="1AA6A0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E666625"/>
    <w:multiLevelType w:val="hybridMultilevel"/>
    <w:tmpl w:val="BBCE56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3"/>
  </w:num>
  <w:num w:numId="5">
    <w:abstractNumId w:val="1"/>
  </w:num>
  <w:num w:numId="6">
    <w:abstractNumId w:val="1"/>
  </w:num>
  <w:num w:numId="7">
    <w:abstractNumId w:val="4"/>
  </w:num>
  <w:num w:numId="8">
    <w:abstractNumId w:val="6"/>
  </w:num>
  <w:num w:numId="9">
    <w:abstractNumId w:val="12"/>
  </w:num>
  <w:num w:numId="10">
    <w:abstractNumId w:val="11"/>
  </w:num>
  <w:num w:numId="11">
    <w:abstractNumId w:val="0"/>
  </w:num>
  <w:num w:numId="12">
    <w:abstractNumId w:val="13"/>
  </w:num>
  <w:num w:numId="13">
    <w:abstractNumId w:val="14"/>
  </w:num>
  <w:num w:numId="14">
    <w:abstractNumId w:val="1"/>
  </w:num>
  <w:num w:numId="15">
    <w:abstractNumId w:val="8"/>
  </w:num>
  <w:num w:numId="16">
    <w:abstractNumId w:val="2"/>
  </w:num>
  <w:num w:numId="17">
    <w:abstractNumId w:val="10"/>
  </w:num>
  <w:num w:numId="18">
    <w:abstractNumId w:val="7"/>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09"/>
    <w:rsid w:val="00006939"/>
    <w:rsid w:val="00006DB3"/>
    <w:rsid w:val="00047871"/>
    <w:rsid w:val="0007771F"/>
    <w:rsid w:val="00087A89"/>
    <w:rsid w:val="00092048"/>
    <w:rsid w:val="000A1ABC"/>
    <w:rsid w:val="000A2AD3"/>
    <w:rsid w:val="000B3EEB"/>
    <w:rsid w:val="000B7BE7"/>
    <w:rsid w:val="000C2210"/>
    <w:rsid w:val="000D1AE2"/>
    <w:rsid w:val="000E7D83"/>
    <w:rsid w:val="001175C7"/>
    <w:rsid w:val="00150306"/>
    <w:rsid w:val="0015352B"/>
    <w:rsid w:val="00162A79"/>
    <w:rsid w:val="00167946"/>
    <w:rsid w:val="001B7B6B"/>
    <w:rsid w:val="001C4175"/>
    <w:rsid w:val="001C79A1"/>
    <w:rsid w:val="001E3DF8"/>
    <w:rsid w:val="00201258"/>
    <w:rsid w:val="00232624"/>
    <w:rsid w:val="0024193A"/>
    <w:rsid w:val="002462EA"/>
    <w:rsid w:val="00266B52"/>
    <w:rsid w:val="00287625"/>
    <w:rsid w:val="002A6DE5"/>
    <w:rsid w:val="002B1E8C"/>
    <w:rsid w:val="002B7486"/>
    <w:rsid w:val="002C152C"/>
    <w:rsid w:val="00347465"/>
    <w:rsid w:val="00352BC8"/>
    <w:rsid w:val="00372E99"/>
    <w:rsid w:val="00374601"/>
    <w:rsid w:val="00374F92"/>
    <w:rsid w:val="00381498"/>
    <w:rsid w:val="003C56A0"/>
    <w:rsid w:val="003F2431"/>
    <w:rsid w:val="003F6584"/>
    <w:rsid w:val="004551B8"/>
    <w:rsid w:val="004615DE"/>
    <w:rsid w:val="00491E5D"/>
    <w:rsid w:val="004C52E9"/>
    <w:rsid w:val="004C783E"/>
    <w:rsid w:val="00516D67"/>
    <w:rsid w:val="00520B4E"/>
    <w:rsid w:val="0053358F"/>
    <w:rsid w:val="00537C0B"/>
    <w:rsid w:val="00540E9B"/>
    <w:rsid w:val="0057425B"/>
    <w:rsid w:val="00574593"/>
    <w:rsid w:val="00584873"/>
    <w:rsid w:val="005A6814"/>
    <w:rsid w:val="005F4931"/>
    <w:rsid w:val="00616F5F"/>
    <w:rsid w:val="00617306"/>
    <w:rsid w:val="006331FC"/>
    <w:rsid w:val="00633BFB"/>
    <w:rsid w:val="00646795"/>
    <w:rsid w:val="00647A72"/>
    <w:rsid w:val="00676873"/>
    <w:rsid w:val="006C1FCF"/>
    <w:rsid w:val="006C46ED"/>
    <w:rsid w:val="006E78B0"/>
    <w:rsid w:val="00716E7B"/>
    <w:rsid w:val="00740989"/>
    <w:rsid w:val="00754FDB"/>
    <w:rsid w:val="007556E0"/>
    <w:rsid w:val="00793AF4"/>
    <w:rsid w:val="007943B6"/>
    <w:rsid w:val="007B78B2"/>
    <w:rsid w:val="00820580"/>
    <w:rsid w:val="0085056C"/>
    <w:rsid w:val="0086095A"/>
    <w:rsid w:val="008736B0"/>
    <w:rsid w:val="00884713"/>
    <w:rsid w:val="008C4F91"/>
    <w:rsid w:val="008C7880"/>
    <w:rsid w:val="008F4475"/>
    <w:rsid w:val="00904504"/>
    <w:rsid w:val="00906383"/>
    <w:rsid w:val="00912E04"/>
    <w:rsid w:val="009241E2"/>
    <w:rsid w:val="00937C0C"/>
    <w:rsid w:val="009742AC"/>
    <w:rsid w:val="009B2F52"/>
    <w:rsid w:val="009B6601"/>
    <w:rsid w:val="009E31CB"/>
    <w:rsid w:val="009E547D"/>
    <w:rsid w:val="009F349F"/>
    <w:rsid w:val="00A22DB0"/>
    <w:rsid w:val="00A311AF"/>
    <w:rsid w:val="00A74836"/>
    <w:rsid w:val="00A8383B"/>
    <w:rsid w:val="00AA1D79"/>
    <w:rsid w:val="00AE7509"/>
    <w:rsid w:val="00AF49D8"/>
    <w:rsid w:val="00AF5035"/>
    <w:rsid w:val="00B24A40"/>
    <w:rsid w:val="00B26CDD"/>
    <w:rsid w:val="00B27AA5"/>
    <w:rsid w:val="00B31495"/>
    <w:rsid w:val="00B5402C"/>
    <w:rsid w:val="00B575D5"/>
    <w:rsid w:val="00B6358D"/>
    <w:rsid w:val="00B65BB5"/>
    <w:rsid w:val="00B80029"/>
    <w:rsid w:val="00BA3659"/>
    <w:rsid w:val="00BA654B"/>
    <w:rsid w:val="00BA6CED"/>
    <w:rsid w:val="00BE3105"/>
    <w:rsid w:val="00C6197E"/>
    <w:rsid w:val="00C91B07"/>
    <w:rsid w:val="00C9500F"/>
    <w:rsid w:val="00CA1F71"/>
    <w:rsid w:val="00CD4175"/>
    <w:rsid w:val="00D01F81"/>
    <w:rsid w:val="00D12A6A"/>
    <w:rsid w:val="00D274A7"/>
    <w:rsid w:val="00D33521"/>
    <w:rsid w:val="00D8543D"/>
    <w:rsid w:val="00DA658A"/>
    <w:rsid w:val="00DC1BC1"/>
    <w:rsid w:val="00DC26D2"/>
    <w:rsid w:val="00DD0D28"/>
    <w:rsid w:val="00DD65AC"/>
    <w:rsid w:val="00DD6ACD"/>
    <w:rsid w:val="00DF0823"/>
    <w:rsid w:val="00E26A4F"/>
    <w:rsid w:val="00E96C6A"/>
    <w:rsid w:val="00EC4A81"/>
    <w:rsid w:val="00EF5C50"/>
    <w:rsid w:val="00F03C77"/>
    <w:rsid w:val="00F11F44"/>
    <w:rsid w:val="00F20441"/>
    <w:rsid w:val="00F43F0F"/>
    <w:rsid w:val="00F72057"/>
    <w:rsid w:val="00F8112F"/>
    <w:rsid w:val="00FD6B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autoRedefine/>
    <w:rsid w:val="008736B0"/>
    <w:pPr>
      <w:jc w:val="both"/>
    </w:pPr>
    <w:rPr>
      <w:szCs w:val="20"/>
    </w:rPr>
  </w:style>
  <w:style w:type="paragraph" w:customStyle="1" w:styleId="nadpcent">
    <w:name w:val="nadpcent"/>
    <w:basedOn w:val="Normln"/>
    <w:next w:val="vlevo"/>
    <w:autoRedefine/>
    <w:rsid w:val="00740989"/>
    <w:pPr>
      <w:spacing w:before="480" w:after="240"/>
      <w:ind w:right="45"/>
      <w:jc w:val="center"/>
    </w:pPr>
    <w:rPr>
      <w:b/>
      <w:caps/>
      <w:spacing w:val="22"/>
      <w:szCs w:val="20"/>
      <w:lang w:val="en-AU"/>
    </w:rPr>
  </w:style>
  <w:style w:type="paragraph" w:customStyle="1" w:styleId="ostzahl">
    <w:name w:val="ostzahl"/>
    <w:basedOn w:val="Normln"/>
    <w:next w:val="vlevo"/>
    <w:autoRedefine/>
    <w:rsid w:val="000B7BE7"/>
    <w:pPr>
      <w:numPr>
        <w:numId w:val="1"/>
      </w:numPr>
      <w:spacing w:before="120" w:after="120"/>
      <w:jc w:val="both"/>
    </w:pPr>
    <w:rPr>
      <w:b/>
      <w:spacing w:val="22"/>
      <w:szCs w:val="20"/>
    </w:rPr>
  </w:style>
  <w:style w:type="paragraph" w:styleId="Zpat">
    <w:name w:val="footer"/>
    <w:basedOn w:val="Normln"/>
    <w:semiHidden/>
    <w:pPr>
      <w:tabs>
        <w:tab w:val="center" w:pos="4153"/>
        <w:tab w:val="right" w:pos="8306"/>
      </w:tabs>
      <w:ind w:firstLine="720"/>
    </w:pPr>
    <w:rPr>
      <w:sz w:val="22"/>
      <w:szCs w:val="20"/>
    </w:rPr>
  </w:style>
  <w:style w:type="character" w:styleId="slostrnky">
    <w:name w:val="page number"/>
    <w:basedOn w:val="Standardnpsmoodstavce"/>
    <w:semiHidden/>
  </w:style>
  <w:style w:type="paragraph" w:customStyle="1" w:styleId="Paragrafneslovan">
    <w:name w:val="Paragraf nečíslovaný"/>
    <w:basedOn w:val="Normln"/>
    <w:autoRedefine/>
    <w:rsid w:val="00A311AF"/>
    <w:pPr>
      <w:spacing w:before="120"/>
      <w:jc w:val="both"/>
    </w:pPr>
    <w:rPr>
      <w:szCs w:val="20"/>
    </w:rPr>
  </w:style>
  <w:style w:type="paragraph" w:styleId="Zkladntext">
    <w:name w:val="Body Text"/>
    <w:basedOn w:val="Normln"/>
    <w:semiHidden/>
    <w:pPr>
      <w:suppressAutoHyphens/>
      <w:jc w:val="both"/>
    </w:pPr>
    <w:rPr>
      <w:rFonts w:ascii="Garamond" w:hAnsi="Garamond"/>
      <w:szCs w:val="20"/>
    </w:rPr>
  </w:style>
  <w:style w:type="paragraph" w:styleId="Zhlav">
    <w:name w:val="header"/>
    <w:basedOn w:val="Normln"/>
    <w:semiHidden/>
    <w:pPr>
      <w:tabs>
        <w:tab w:val="center" w:pos="4536"/>
        <w:tab w:val="right" w:pos="9072"/>
      </w:tabs>
    </w:pPr>
  </w:style>
  <w:style w:type="character" w:customStyle="1" w:styleId="WW8Num1z5">
    <w:name w:val="WW8Num1z5"/>
    <w:rsid w:val="00AE7509"/>
  </w:style>
  <w:style w:type="character" w:styleId="Siln">
    <w:name w:val="Strong"/>
    <w:qFormat/>
    <w:rsid w:val="00AE7509"/>
    <w:rPr>
      <w:rFonts w:cs="Times New Roman"/>
      <w:b/>
      <w:bCs/>
    </w:rPr>
  </w:style>
  <w:style w:type="paragraph" w:customStyle="1" w:styleId="Odstavecseseznamem2">
    <w:name w:val="Odstavec se seznamem2"/>
    <w:basedOn w:val="Normln"/>
    <w:rsid w:val="00AE7509"/>
    <w:pPr>
      <w:spacing w:after="200" w:line="276" w:lineRule="auto"/>
      <w:ind w:left="720"/>
      <w:contextualSpacing/>
    </w:pPr>
    <w:rPr>
      <w:rFonts w:ascii="Calibri" w:hAnsi="Calibri" w:cs="Calibri"/>
      <w:sz w:val="22"/>
      <w:szCs w:val="22"/>
      <w:lang w:eastAsia="zh-CN"/>
    </w:rPr>
  </w:style>
  <w:style w:type="table" w:styleId="Mkatabulky">
    <w:name w:val="Table Grid"/>
    <w:basedOn w:val="Normlntabulka"/>
    <w:uiPriority w:val="59"/>
    <w:rsid w:val="00D0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91E5D"/>
    <w:rPr>
      <w:rFonts w:ascii="Tahoma" w:hAnsi="Tahoma" w:cs="Tahoma"/>
      <w:sz w:val="16"/>
      <w:szCs w:val="16"/>
    </w:rPr>
  </w:style>
  <w:style w:type="character" w:customStyle="1" w:styleId="TextbublinyChar">
    <w:name w:val="Text bubliny Char"/>
    <w:basedOn w:val="Standardnpsmoodstavce"/>
    <w:link w:val="Textbubliny"/>
    <w:uiPriority w:val="99"/>
    <w:semiHidden/>
    <w:rsid w:val="00491E5D"/>
    <w:rPr>
      <w:rFonts w:ascii="Tahoma" w:hAnsi="Tahoma" w:cs="Tahoma"/>
      <w:sz w:val="16"/>
      <w:szCs w:val="16"/>
    </w:rPr>
  </w:style>
  <w:style w:type="character" w:styleId="Odkaznakoment">
    <w:name w:val="annotation reference"/>
    <w:basedOn w:val="Standardnpsmoodstavce"/>
    <w:uiPriority w:val="99"/>
    <w:semiHidden/>
    <w:unhideWhenUsed/>
    <w:rsid w:val="00D33521"/>
    <w:rPr>
      <w:sz w:val="16"/>
      <w:szCs w:val="16"/>
    </w:rPr>
  </w:style>
  <w:style w:type="paragraph" w:styleId="Textkomente">
    <w:name w:val="annotation text"/>
    <w:basedOn w:val="Normln"/>
    <w:link w:val="TextkomenteChar"/>
    <w:uiPriority w:val="99"/>
    <w:semiHidden/>
    <w:unhideWhenUsed/>
    <w:rsid w:val="00D33521"/>
    <w:rPr>
      <w:sz w:val="20"/>
      <w:szCs w:val="20"/>
    </w:rPr>
  </w:style>
  <w:style w:type="character" w:customStyle="1" w:styleId="TextkomenteChar">
    <w:name w:val="Text komentáře Char"/>
    <w:basedOn w:val="Standardnpsmoodstavce"/>
    <w:link w:val="Textkomente"/>
    <w:uiPriority w:val="99"/>
    <w:semiHidden/>
    <w:rsid w:val="00D33521"/>
  </w:style>
  <w:style w:type="paragraph" w:styleId="Pedmtkomente">
    <w:name w:val="annotation subject"/>
    <w:basedOn w:val="Textkomente"/>
    <w:next w:val="Textkomente"/>
    <w:link w:val="PedmtkomenteChar"/>
    <w:uiPriority w:val="99"/>
    <w:semiHidden/>
    <w:unhideWhenUsed/>
    <w:rsid w:val="00D33521"/>
    <w:rPr>
      <w:b/>
      <w:bCs/>
    </w:rPr>
  </w:style>
  <w:style w:type="character" w:customStyle="1" w:styleId="PedmtkomenteChar">
    <w:name w:val="Předmět komentáře Char"/>
    <w:basedOn w:val="TextkomenteChar"/>
    <w:link w:val="Pedmtkomente"/>
    <w:uiPriority w:val="99"/>
    <w:semiHidden/>
    <w:rsid w:val="00D33521"/>
    <w:rPr>
      <w:b/>
      <w:bCs/>
    </w:rPr>
  </w:style>
  <w:style w:type="paragraph" w:styleId="Normlnweb">
    <w:name w:val="Normal (Web)"/>
    <w:basedOn w:val="Normln"/>
    <w:rsid w:val="00516D67"/>
    <w:rPr>
      <w:rFonts w:ascii="Arial Unicode MS" w:eastAsia="Arial Unicode MS" w:hAnsi="Arial Unicode MS" w:cs="Arial Unicode MS"/>
    </w:rPr>
  </w:style>
  <w:style w:type="paragraph" w:customStyle="1" w:styleId="Zkladntextodsazen31">
    <w:name w:val="Základní text odsazený 31"/>
    <w:basedOn w:val="Normln"/>
    <w:rsid w:val="00516D67"/>
    <w:pPr>
      <w:ind w:left="284"/>
      <w:jc w:val="both"/>
    </w:pPr>
    <w:rPr>
      <w:szCs w:val="20"/>
    </w:rPr>
  </w:style>
  <w:style w:type="paragraph" w:styleId="Zkladntextodsazen">
    <w:name w:val="Body Text Indent"/>
    <w:basedOn w:val="Normln"/>
    <w:link w:val="ZkladntextodsazenChar"/>
    <w:uiPriority w:val="99"/>
    <w:unhideWhenUsed/>
    <w:rsid w:val="005A6814"/>
    <w:pPr>
      <w:spacing w:after="120"/>
      <w:ind w:left="283"/>
    </w:pPr>
  </w:style>
  <w:style w:type="character" w:customStyle="1" w:styleId="ZkladntextodsazenChar">
    <w:name w:val="Základní text odsazený Char"/>
    <w:basedOn w:val="Standardnpsmoodstavce"/>
    <w:link w:val="Zkladntextodsazen"/>
    <w:uiPriority w:val="99"/>
    <w:rsid w:val="005A6814"/>
    <w:rPr>
      <w:sz w:val="24"/>
      <w:szCs w:val="24"/>
    </w:rPr>
  </w:style>
  <w:style w:type="paragraph" w:styleId="Odstavecseseznamem">
    <w:name w:val="List Paragraph"/>
    <w:basedOn w:val="Normln"/>
    <w:uiPriority w:val="34"/>
    <w:qFormat/>
    <w:rsid w:val="00574593"/>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autoRedefine/>
    <w:rsid w:val="008736B0"/>
    <w:pPr>
      <w:jc w:val="both"/>
    </w:pPr>
    <w:rPr>
      <w:szCs w:val="20"/>
    </w:rPr>
  </w:style>
  <w:style w:type="paragraph" w:customStyle="1" w:styleId="nadpcent">
    <w:name w:val="nadpcent"/>
    <w:basedOn w:val="Normln"/>
    <w:next w:val="vlevo"/>
    <w:autoRedefine/>
    <w:rsid w:val="00740989"/>
    <w:pPr>
      <w:spacing w:before="480" w:after="240"/>
      <w:ind w:right="45"/>
      <w:jc w:val="center"/>
    </w:pPr>
    <w:rPr>
      <w:b/>
      <w:caps/>
      <w:spacing w:val="22"/>
      <w:szCs w:val="20"/>
      <w:lang w:val="en-AU"/>
    </w:rPr>
  </w:style>
  <w:style w:type="paragraph" w:customStyle="1" w:styleId="ostzahl">
    <w:name w:val="ostzahl"/>
    <w:basedOn w:val="Normln"/>
    <w:next w:val="vlevo"/>
    <w:autoRedefine/>
    <w:rsid w:val="000B7BE7"/>
    <w:pPr>
      <w:numPr>
        <w:numId w:val="1"/>
      </w:numPr>
      <w:spacing w:before="120" w:after="120"/>
      <w:jc w:val="both"/>
    </w:pPr>
    <w:rPr>
      <w:b/>
      <w:spacing w:val="22"/>
      <w:szCs w:val="20"/>
    </w:rPr>
  </w:style>
  <w:style w:type="paragraph" w:styleId="Zpat">
    <w:name w:val="footer"/>
    <w:basedOn w:val="Normln"/>
    <w:semiHidden/>
    <w:pPr>
      <w:tabs>
        <w:tab w:val="center" w:pos="4153"/>
        <w:tab w:val="right" w:pos="8306"/>
      </w:tabs>
      <w:ind w:firstLine="720"/>
    </w:pPr>
    <w:rPr>
      <w:sz w:val="22"/>
      <w:szCs w:val="20"/>
    </w:rPr>
  </w:style>
  <w:style w:type="character" w:styleId="slostrnky">
    <w:name w:val="page number"/>
    <w:basedOn w:val="Standardnpsmoodstavce"/>
    <w:semiHidden/>
  </w:style>
  <w:style w:type="paragraph" w:customStyle="1" w:styleId="Paragrafneslovan">
    <w:name w:val="Paragraf nečíslovaný"/>
    <w:basedOn w:val="Normln"/>
    <w:autoRedefine/>
    <w:rsid w:val="00A311AF"/>
    <w:pPr>
      <w:spacing w:before="120"/>
      <w:jc w:val="both"/>
    </w:pPr>
    <w:rPr>
      <w:szCs w:val="20"/>
    </w:rPr>
  </w:style>
  <w:style w:type="paragraph" w:styleId="Zkladntext">
    <w:name w:val="Body Text"/>
    <w:basedOn w:val="Normln"/>
    <w:semiHidden/>
    <w:pPr>
      <w:suppressAutoHyphens/>
      <w:jc w:val="both"/>
    </w:pPr>
    <w:rPr>
      <w:rFonts w:ascii="Garamond" w:hAnsi="Garamond"/>
      <w:szCs w:val="20"/>
    </w:rPr>
  </w:style>
  <w:style w:type="paragraph" w:styleId="Zhlav">
    <w:name w:val="header"/>
    <w:basedOn w:val="Normln"/>
    <w:semiHidden/>
    <w:pPr>
      <w:tabs>
        <w:tab w:val="center" w:pos="4536"/>
        <w:tab w:val="right" w:pos="9072"/>
      </w:tabs>
    </w:pPr>
  </w:style>
  <w:style w:type="character" w:customStyle="1" w:styleId="WW8Num1z5">
    <w:name w:val="WW8Num1z5"/>
    <w:rsid w:val="00AE7509"/>
  </w:style>
  <w:style w:type="character" w:styleId="Siln">
    <w:name w:val="Strong"/>
    <w:qFormat/>
    <w:rsid w:val="00AE7509"/>
    <w:rPr>
      <w:rFonts w:cs="Times New Roman"/>
      <w:b/>
      <w:bCs/>
    </w:rPr>
  </w:style>
  <w:style w:type="paragraph" w:customStyle="1" w:styleId="Odstavecseseznamem2">
    <w:name w:val="Odstavec se seznamem2"/>
    <w:basedOn w:val="Normln"/>
    <w:rsid w:val="00AE7509"/>
    <w:pPr>
      <w:spacing w:after="200" w:line="276" w:lineRule="auto"/>
      <w:ind w:left="720"/>
      <w:contextualSpacing/>
    </w:pPr>
    <w:rPr>
      <w:rFonts w:ascii="Calibri" w:hAnsi="Calibri" w:cs="Calibri"/>
      <w:sz w:val="22"/>
      <w:szCs w:val="22"/>
      <w:lang w:eastAsia="zh-CN"/>
    </w:rPr>
  </w:style>
  <w:style w:type="table" w:styleId="Mkatabulky">
    <w:name w:val="Table Grid"/>
    <w:basedOn w:val="Normlntabulka"/>
    <w:uiPriority w:val="59"/>
    <w:rsid w:val="00D0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91E5D"/>
    <w:rPr>
      <w:rFonts w:ascii="Tahoma" w:hAnsi="Tahoma" w:cs="Tahoma"/>
      <w:sz w:val="16"/>
      <w:szCs w:val="16"/>
    </w:rPr>
  </w:style>
  <w:style w:type="character" w:customStyle="1" w:styleId="TextbublinyChar">
    <w:name w:val="Text bubliny Char"/>
    <w:basedOn w:val="Standardnpsmoodstavce"/>
    <w:link w:val="Textbubliny"/>
    <w:uiPriority w:val="99"/>
    <w:semiHidden/>
    <w:rsid w:val="00491E5D"/>
    <w:rPr>
      <w:rFonts w:ascii="Tahoma" w:hAnsi="Tahoma" w:cs="Tahoma"/>
      <w:sz w:val="16"/>
      <w:szCs w:val="16"/>
    </w:rPr>
  </w:style>
  <w:style w:type="character" w:styleId="Odkaznakoment">
    <w:name w:val="annotation reference"/>
    <w:basedOn w:val="Standardnpsmoodstavce"/>
    <w:uiPriority w:val="99"/>
    <w:semiHidden/>
    <w:unhideWhenUsed/>
    <w:rsid w:val="00D33521"/>
    <w:rPr>
      <w:sz w:val="16"/>
      <w:szCs w:val="16"/>
    </w:rPr>
  </w:style>
  <w:style w:type="paragraph" w:styleId="Textkomente">
    <w:name w:val="annotation text"/>
    <w:basedOn w:val="Normln"/>
    <w:link w:val="TextkomenteChar"/>
    <w:uiPriority w:val="99"/>
    <w:semiHidden/>
    <w:unhideWhenUsed/>
    <w:rsid w:val="00D33521"/>
    <w:rPr>
      <w:sz w:val="20"/>
      <w:szCs w:val="20"/>
    </w:rPr>
  </w:style>
  <w:style w:type="character" w:customStyle="1" w:styleId="TextkomenteChar">
    <w:name w:val="Text komentáře Char"/>
    <w:basedOn w:val="Standardnpsmoodstavce"/>
    <w:link w:val="Textkomente"/>
    <w:uiPriority w:val="99"/>
    <w:semiHidden/>
    <w:rsid w:val="00D33521"/>
  </w:style>
  <w:style w:type="paragraph" w:styleId="Pedmtkomente">
    <w:name w:val="annotation subject"/>
    <w:basedOn w:val="Textkomente"/>
    <w:next w:val="Textkomente"/>
    <w:link w:val="PedmtkomenteChar"/>
    <w:uiPriority w:val="99"/>
    <w:semiHidden/>
    <w:unhideWhenUsed/>
    <w:rsid w:val="00D33521"/>
    <w:rPr>
      <w:b/>
      <w:bCs/>
    </w:rPr>
  </w:style>
  <w:style w:type="character" w:customStyle="1" w:styleId="PedmtkomenteChar">
    <w:name w:val="Předmět komentáře Char"/>
    <w:basedOn w:val="TextkomenteChar"/>
    <w:link w:val="Pedmtkomente"/>
    <w:uiPriority w:val="99"/>
    <w:semiHidden/>
    <w:rsid w:val="00D33521"/>
    <w:rPr>
      <w:b/>
      <w:bCs/>
    </w:rPr>
  </w:style>
  <w:style w:type="paragraph" w:styleId="Normlnweb">
    <w:name w:val="Normal (Web)"/>
    <w:basedOn w:val="Normln"/>
    <w:rsid w:val="00516D67"/>
    <w:rPr>
      <w:rFonts w:ascii="Arial Unicode MS" w:eastAsia="Arial Unicode MS" w:hAnsi="Arial Unicode MS" w:cs="Arial Unicode MS"/>
    </w:rPr>
  </w:style>
  <w:style w:type="paragraph" w:customStyle="1" w:styleId="Zkladntextodsazen31">
    <w:name w:val="Základní text odsazený 31"/>
    <w:basedOn w:val="Normln"/>
    <w:rsid w:val="00516D67"/>
    <w:pPr>
      <w:ind w:left="284"/>
      <w:jc w:val="both"/>
    </w:pPr>
    <w:rPr>
      <w:szCs w:val="20"/>
    </w:rPr>
  </w:style>
  <w:style w:type="paragraph" w:styleId="Zkladntextodsazen">
    <w:name w:val="Body Text Indent"/>
    <w:basedOn w:val="Normln"/>
    <w:link w:val="ZkladntextodsazenChar"/>
    <w:uiPriority w:val="99"/>
    <w:unhideWhenUsed/>
    <w:rsid w:val="005A6814"/>
    <w:pPr>
      <w:spacing w:after="120"/>
      <w:ind w:left="283"/>
    </w:pPr>
  </w:style>
  <w:style w:type="character" w:customStyle="1" w:styleId="ZkladntextodsazenChar">
    <w:name w:val="Základní text odsazený Char"/>
    <w:basedOn w:val="Standardnpsmoodstavce"/>
    <w:link w:val="Zkladntextodsazen"/>
    <w:uiPriority w:val="99"/>
    <w:rsid w:val="005A6814"/>
    <w:rPr>
      <w:sz w:val="24"/>
      <w:szCs w:val="24"/>
    </w:rPr>
  </w:style>
  <w:style w:type="paragraph" w:styleId="Odstavecseseznamem">
    <w:name w:val="List Paragraph"/>
    <w:basedOn w:val="Normln"/>
    <w:uiPriority w:val="34"/>
    <w:qFormat/>
    <w:rsid w:val="00574593"/>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789">
      <w:bodyDiv w:val="1"/>
      <w:marLeft w:val="0"/>
      <w:marRight w:val="0"/>
      <w:marTop w:val="0"/>
      <w:marBottom w:val="0"/>
      <w:divBdr>
        <w:top w:val="none" w:sz="0" w:space="0" w:color="auto"/>
        <w:left w:val="none" w:sz="0" w:space="0" w:color="auto"/>
        <w:bottom w:val="none" w:sz="0" w:space="0" w:color="auto"/>
        <w:right w:val="none" w:sz="0" w:space="0" w:color="auto"/>
      </w:divBdr>
    </w:div>
    <w:div w:id="345792808">
      <w:bodyDiv w:val="1"/>
      <w:marLeft w:val="0"/>
      <w:marRight w:val="0"/>
      <w:marTop w:val="0"/>
      <w:marBottom w:val="0"/>
      <w:divBdr>
        <w:top w:val="none" w:sz="0" w:space="0" w:color="auto"/>
        <w:left w:val="none" w:sz="0" w:space="0" w:color="auto"/>
        <w:bottom w:val="none" w:sz="0" w:space="0" w:color="auto"/>
        <w:right w:val="none" w:sz="0" w:space="0" w:color="auto"/>
      </w:divBdr>
    </w:div>
    <w:div w:id="405415744">
      <w:bodyDiv w:val="1"/>
      <w:marLeft w:val="0"/>
      <w:marRight w:val="0"/>
      <w:marTop w:val="0"/>
      <w:marBottom w:val="0"/>
      <w:divBdr>
        <w:top w:val="none" w:sz="0" w:space="0" w:color="auto"/>
        <w:left w:val="none" w:sz="0" w:space="0" w:color="auto"/>
        <w:bottom w:val="none" w:sz="0" w:space="0" w:color="auto"/>
        <w:right w:val="none" w:sz="0" w:space="0" w:color="auto"/>
      </w:divBdr>
    </w:div>
    <w:div w:id="875386315">
      <w:bodyDiv w:val="1"/>
      <w:marLeft w:val="0"/>
      <w:marRight w:val="0"/>
      <w:marTop w:val="0"/>
      <w:marBottom w:val="0"/>
      <w:divBdr>
        <w:top w:val="none" w:sz="0" w:space="0" w:color="auto"/>
        <w:left w:val="none" w:sz="0" w:space="0" w:color="auto"/>
        <w:bottom w:val="none" w:sz="0" w:space="0" w:color="auto"/>
        <w:right w:val="none" w:sz="0" w:space="0" w:color="auto"/>
      </w:divBdr>
    </w:div>
    <w:div w:id="1453134198">
      <w:bodyDiv w:val="1"/>
      <w:marLeft w:val="0"/>
      <w:marRight w:val="0"/>
      <w:marTop w:val="0"/>
      <w:marBottom w:val="0"/>
      <w:divBdr>
        <w:top w:val="none" w:sz="0" w:space="0" w:color="auto"/>
        <w:left w:val="none" w:sz="0" w:space="0" w:color="auto"/>
        <w:bottom w:val="none" w:sz="0" w:space="0" w:color="auto"/>
        <w:right w:val="none" w:sz="0" w:space="0" w:color="auto"/>
      </w:divBdr>
    </w:div>
    <w:div w:id="1559392642">
      <w:bodyDiv w:val="1"/>
      <w:marLeft w:val="0"/>
      <w:marRight w:val="0"/>
      <w:marTop w:val="0"/>
      <w:marBottom w:val="0"/>
      <w:divBdr>
        <w:top w:val="none" w:sz="0" w:space="0" w:color="auto"/>
        <w:left w:val="none" w:sz="0" w:space="0" w:color="auto"/>
        <w:bottom w:val="none" w:sz="0" w:space="0" w:color="auto"/>
        <w:right w:val="none" w:sz="0" w:space="0" w:color="auto"/>
      </w:divBdr>
    </w:div>
    <w:div w:id="1669745662">
      <w:bodyDiv w:val="1"/>
      <w:marLeft w:val="0"/>
      <w:marRight w:val="0"/>
      <w:marTop w:val="0"/>
      <w:marBottom w:val="0"/>
      <w:divBdr>
        <w:top w:val="none" w:sz="0" w:space="0" w:color="auto"/>
        <w:left w:val="none" w:sz="0" w:space="0" w:color="auto"/>
        <w:bottom w:val="none" w:sz="0" w:space="0" w:color="auto"/>
        <w:right w:val="none" w:sz="0" w:space="0" w:color="auto"/>
      </w:divBdr>
    </w:div>
    <w:div w:id="1853033806">
      <w:bodyDiv w:val="1"/>
      <w:marLeft w:val="0"/>
      <w:marRight w:val="0"/>
      <w:marTop w:val="0"/>
      <w:marBottom w:val="0"/>
      <w:divBdr>
        <w:top w:val="none" w:sz="0" w:space="0" w:color="auto"/>
        <w:left w:val="none" w:sz="0" w:space="0" w:color="auto"/>
        <w:bottom w:val="none" w:sz="0" w:space="0" w:color="auto"/>
        <w:right w:val="none" w:sz="0" w:space="0" w:color="auto"/>
      </w:divBdr>
    </w:div>
    <w:div w:id="20968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kulova\Data%20aplikac&#237;\Microsoft\&#352;ablony\D&#367;vodov&#225;%20zpr&#225;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AD33-E6A4-4097-AB62-212211A1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Důvodová zpráva.dot</Template>
  <TotalTime>0</TotalTime>
  <Pages>3</Pages>
  <Words>1492</Words>
  <Characters>6987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DŮVODOVÁ ZPRÁVA</vt:lpstr>
    </vt:vector>
  </TitlesOfParts>
  <Company>SIT</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Ing. Markéta Sinkulová</dc:creator>
  <cp:lastModifiedBy>Sinkulová Markéta Leona</cp:lastModifiedBy>
  <cp:revision>3</cp:revision>
  <cp:lastPrinted>2019-01-23T08:09:00Z</cp:lastPrinted>
  <dcterms:created xsi:type="dcterms:W3CDTF">2019-01-23T08:39:00Z</dcterms:created>
  <dcterms:modified xsi:type="dcterms:W3CDTF">2019-01-23T09:07:00Z</dcterms:modified>
</cp:coreProperties>
</file>