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0" w:rsidRPr="007461A7" w:rsidRDefault="005A4270" w:rsidP="005A4270">
      <w:pPr>
        <w:pStyle w:val="Nadpis3"/>
        <w:numPr>
          <w:ilvl w:val="2"/>
          <w:numId w:val="2"/>
        </w:numPr>
        <w:suppressAutoHyphens/>
        <w:spacing w:before="240"/>
        <w:ind w:left="357" w:firstLine="0"/>
      </w:pPr>
      <w:r>
        <w:t>Důvodová zpráva</w:t>
      </w:r>
    </w:p>
    <w:p w:rsidR="005A4270" w:rsidRPr="00FF79A5" w:rsidRDefault="005A4270" w:rsidP="005A4270">
      <w:pPr>
        <w:rPr>
          <w:lang w:eastAsia="zh-CN"/>
        </w:rPr>
      </w:pPr>
    </w:p>
    <w:p w:rsidR="005A4270" w:rsidRDefault="005A4270" w:rsidP="005A4270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Název problému a jeho charakteristika</w:t>
      </w:r>
    </w:p>
    <w:p w:rsidR="005A4270" w:rsidRDefault="005A4270" w:rsidP="005A4270">
      <w:pPr>
        <w:spacing w:after="60"/>
        <w:jc w:val="both"/>
        <w:rPr>
          <w:sz w:val="24"/>
          <w:szCs w:val="24"/>
        </w:rPr>
      </w:pPr>
      <w:r w:rsidRPr="006C034E">
        <w:rPr>
          <w:sz w:val="24"/>
          <w:szCs w:val="24"/>
        </w:rPr>
        <w:t>Přijetí daru sportovního zařízení pro tréninkovou činnost mládeže vybudovaného v</w:t>
      </w:r>
      <w:r>
        <w:rPr>
          <w:sz w:val="24"/>
          <w:szCs w:val="24"/>
        </w:rPr>
        <w:t> </w:t>
      </w:r>
      <w:r w:rsidRPr="006C034E">
        <w:rPr>
          <w:sz w:val="24"/>
          <w:szCs w:val="24"/>
        </w:rPr>
        <w:t>prostoru areálu Zimního stadionu v Plzni z</w:t>
      </w:r>
      <w:r>
        <w:rPr>
          <w:sz w:val="24"/>
          <w:szCs w:val="24"/>
        </w:rPr>
        <w:t> </w:t>
      </w:r>
      <w:r w:rsidRPr="006C034E">
        <w:rPr>
          <w:sz w:val="24"/>
          <w:szCs w:val="24"/>
        </w:rPr>
        <w:t>vlastnictví</w:t>
      </w:r>
      <w:r>
        <w:rPr>
          <w:sz w:val="24"/>
          <w:szCs w:val="24"/>
        </w:rPr>
        <w:t xml:space="preserve"> sportovního klubu</w:t>
      </w:r>
      <w:r w:rsidRPr="006C034E">
        <w:rPr>
          <w:sz w:val="24"/>
          <w:szCs w:val="24"/>
        </w:rPr>
        <w:t xml:space="preserve"> HC Plzeň 1929, IČ: 45331634, Štefánikovo náměstí 833/1, Plzeň, do majetku města Plzně</w:t>
      </w:r>
      <w:r>
        <w:rPr>
          <w:sz w:val="24"/>
          <w:szCs w:val="24"/>
        </w:rPr>
        <w:t xml:space="preserve"> a jeho následné svěření Odboru správy infrastruktury MMP (dále jen OSI MMP)</w:t>
      </w:r>
      <w:r w:rsidRPr="006C034E">
        <w:rPr>
          <w:sz w:val="24"/>
          <w:szCs w:val="24"/>
        </w:rPr>
        <w:t xml:space="preserve">. </w:t>
      </w:r>
    </w:p>
    <w:p w:rsidR="005A4270" w:rsidRDefault="005A4270" w:rsidP="005A4270">
      <w:pPr>
        <w:spacing w:after="60"/>
        <w:jc w:val="both"/>
        <w:rPr>
          <w:sz w:val="24"/>
          <w:szCs w:val="24"/>
        </w:rPr>
      </w:pPr>
    </w:p>
    <w:p w:rsidR="005A4270" w:rsidRPr="0047070D" w:rsidRDefault="005A4270" w:rsidP="005A4270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Konstatování současného stavu a jeho analýza</w:t>
      </w:r>
    </w:p>
    <w:p w:rsidR="005A4270" w:rsidRPr="008A4A96" w:rsidRDefault="005A4270" w:rsidP="005A4270">
      <w:pPr>
        <w:pStyle w:val="vlevo"/>
      </w:pPr>
      <w:r w:rsidRPr="006C034E">
        <w:rPr>
          <w:szCs w:val="24"/>
        </w:rPr>
        <w:t>Odbor nabývání majetku MMP (dále jen MAJ MMP) obdržel</w:t>
      </w:r>
      <w:r>
        <w:rPr>
          <w:szCs w:val="24"/>
        </w:rPr>
        <w:t xml:space="preserve"> prostřednictvím Odboru evidence majetku MMP (EVID)</w:t>
      </w:r>
      <w:r w:rsidRPr="006C034E">
        <w:rPr>
          <w:szCs w:val="24"/>
        </w:rPr>
        <w:t xml:space="preserve"> </w:t>
      </w:r>
      <w:r>
        <w:rPr>
          <w:szCs w:val="24"/>
        </w:rPr>
        <w:t>žádost</w:t>
      </w:r>
      <w:r w:rsidRPr="006C034E">
        <w:rPr>
          <w:szCs w:val="24"/>
        </w:rPr>
        <w:t xml:space="preserve"> </w:t>
      </w:r>
      <w:r>
        <w:rPr>
          <w:szCs w:val="24"/>
        </w:rPr>
        <w:t xml:space="preserve">OSI MMP  k projednání požadavku HC Plzeň 1929 ve věci </w:t>
      </w:r>
      <w:r w:rsidRPr="006C034E">
        <w:rPr>
          <w:szCs w:val="24"/>
        </w:rPr>
        <w:t xml:space="preserve">přijetí daru sportovního zařízení pro tréninkovou činnost mládeže vybudovaného v prostoru areálu Zimního stadionu v Plzni z vlastnictví HC Plzeň 1929, IČ: 45331634, Štefánikovo náměstí 833/1, Plzeň, do majetku města Plzně. Toto zařízení slouží zejména pro </w:t>
      </w:r>
      <w:r>
        <w:rPr>
          <w:szCs w:val="24"/>
        </w:rPr>
        <w:t>kondiční činnost brankářů, ale</w:t>
      </w:r>
      <w:r w:rsidRPr="006C034E">
        <w:rPr>
          <w:szCs w:val="24"/>
        </w:rPr>
        <w:t xml:space="preserve"> taktéž</w:t>
      </w:r>
      <w:r>
        <w:rPr>
          <w:szCs w:val="24"/>
        </w:rPr>
        <w:t xml:space="preserve"> i</w:t>
      </w:r>
      <w:r w:rsidRPr="006C034E">
        <w:rPr>
          <w:szCs w:val="24"/>
        </w:rPr>
        <w:t xml:space="preserve"> pro zkvalitnění střelby na branku ostatních hráčů.</w:t>
      </w:r>
      <w:r>
        <w:rPr>
          <w:szCs w:val="24"/>
        </w:rPr>
        <w:t xml:space="preserve"> Bezúplatné převedení uvedeného sportovního zařízení do majetku města Plzně je sportovním klubem navrhováno v rámci sjednocení údržby areálu zimního stadionu </w:t>
      </w:r>
      <w:r>
        <w:t xml:space="preserve">jedním subjektem. </w:t>
      </w:r>
    </w:p>
    <w:p w:rsidR="005A4270" w:rsidRPr="006C034E" w:rsidRDefault="005A4270" w:rsidP="005A4270">
      <w:pPr>
        <w:spacing w:after="60"/>
        <w:jc w:val="both"/>
        <w:rPr>
          <w:sz w:val="24"/>
          <w:szCs w:val="24"/>
        </w:rPr>
      </w:pPr>
      <w:r w:rsidRPr="006C034E">
        <w:rPr>
          <w:sz w:val="24"/>
          <w:szCs w:val="24"/>
        </w:rPr>
        <w:t xml:space="preserve">Předmětem převodu do majetku města Plzně je nemovitá věc – sportovní zařízení (tréninkové hřiště)  umístěné na části pozemku </w:t>
      </w:r>
      <w:proofErr w:type="spellStart"/>
      <w:r w:rsidRPr="006C034E">
        <w:rPr>
          <w:sz w:val="24"/>
          <w:szCs w:val="24"/>
        </w:rPr>
        <w:t>parc</w:t>
      </w:r>
      <w:proofErr w:type="spellEnd"/>
      <w:r w:rsidRPr="006C034E">
        <w:rPr>
          <w:sz w:val="24"/>
          <w:szCs w:val="24"/>
        </w:rPr>
        <w:t xml:space="preserve">. </w:t>
      </w:r>
      <w:proofErr w:type="gramStart"/>
      <w:r w:rsidRPr="006C034E">
        <w:rPr>
          <w:sz w:val="24"/>
          <w:szCs w:val="24"/>
        </w:rPr>
        <w:t>č.</w:t>
      </w:r>
      <w:proofErr w:type="gramEnd"/>
      <w:r w:rsidRPr="006C034E">
        <w:rPr>
          <w:sz w:val="24"/>
          <w:szCs w:val="24"/>
        </w:rPr>
        <w:t xml:space="preserve"> 6411/</w:t>
      </w:r>
      <w:r>
        <w:rPr>
          <w:sz w:val="24"/>
          <w:szCs w:val="24"/>
        </w:rPr>
        <w:t xml:space="preserve">1 a části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6411/2</w:t>
      </w:r>
      <w:r w:rsidRPr="006C03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oba v </w:t>
      </w:r>
      <w:r w:rsidRPr="006C034E">
        <w:rPr>
          <w:sz w:val="24"/>
          <w:szCs w:val="24"/>
        </w:rPr>
        <w:t xml:space="preserve">k. </w:t>
      </w:r>
      <w:proofErr w:type="spellStart"/>
      <w:r w:rsidRPr="006C034E">
        <w:rPr>
          <w:sz w:val="24"/>
          <w:szCs w:val="24"/>
        </w:rPr>
        <w:t>ú.</w:t>
      </w:r>
      <w:proofErr w:type="spellEnd"/>
      <w:r w:rsidRPr="006C034E">
        <w:rPr>
          <w:sz w:val="24"/>
          <w:szCs w:val="24"/>
        </w:rPr>
        <w:t xml:space="preserve"> Plzeň</w:t>
      </w:r>
      <w:r>
        <w:rPr>
          <w:sz w:val="24"/>
          <w:szCs w:val="24"/>
        </w:rPr>
        <w:t xml:space="preserve">, které jsou v majetku města Plzně. Zaměření tréninkového hřiště pro brankáře na městských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6411/1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6411/2, oba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</w:t>
      </w:r>
      <w:r w:rsidRPr="000A1A8B">
        <w:rPr>
          <w:sz w:val="24"/>
          <w:szCs w:val="24"/>
        </w:rPr>
        <w:t>je uvedeno v příloze č.</w:t>
      </w:r>
      <w:r>
        <w:rPr>
          <w:sz w:val="24"/>
          <w:szCs w:val="24"/>
        </w:rPr>
        <w:t xml:space="preserve"> 3. Pozem</w:t>
      </w:r>
      <w:r w:rsidRPr="006C034E">
        <w:rPr>
          <w:sz w:val="24"/>
          <w:szCs w:val="24"/>
        </w:rPr>
        <w:t>k</w:t>
      </w:r>
      <w:r>
        <w:rPr>
          <w:sz w:val="24"/>
          <w:szCs w:val="24"/>
        </w:rPr>
        <w:t>y</w:t>
      </w:r>
      <w:r w:rsidRPr="006C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6411/1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6411/2, oba v  k. 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Plzeň </w:t>
      </w:r>
      <w:r w:rsidRPr="006C034E">
        <w:rPr>
          <w:sz w:val="24"/>
          <w:szCs w:val="24"/>
        </w:rPr>
        <w:t>j</w:t>
      </w:r>
      <w:r>
        <w:rPr>
          <w:sz w:val="24"/>
          <w:szCs w:val="24"/>
        </w:rPr>
        <w:t>sou</w:t>
      </w:r>
      <w:r w:rsidRPr="006C034E">
        <w:rPr>
          <w:sz w:val="24"/>
          <w:szCs w:val="24"/>
        </w:rPr>
        <w:t xml:space="preserve"> mimo jiné užíván</w:t>
      </w:r>
      <w:r>
        <w:rPr>
          <w:sz w:val="24"/>
          <w:szCs w:val="24"/>
        </w:rPr>
        <w:t>y</w:t>
      </w:r>
      <w:r w:rsidRPr="006C034E">
        <w:rPr>
          <w:sz w:val="24"/>
          <w:szCs w:val="24"/>
        </w:rPr>
        <w:t xml:space="preserve"> na základě dodatku č. 8 ke Smlouvě o nájmu, provozování a údržbě Zimního stadionu </w:t>
      </w:r>
      <w:proofErr w:type="gramStart"/>
      <w:r w:rsidRPr="006C034E">
        <w:rPr>
          <w:sz w:val="24"/>
          <w:szCs w:val="24"/>
        </w:rPr>
        <w:t>Plzeň  č.</w:t>
      </w:r>
      <w:proofErr w:type="gramEnd"/>
      <w:r>
        <w:rPr>
          <w:sz w:val="24"/>
          <w:szCs w:val="24"/>
        </w:rPr>
        <w:t> </w:t>
      </w:r>
      <w:r w:rsidRPr="006C034E">
        <w:rPr>
          <w:sz w:val="24"/>
          <w:szCs w:val="24"/>
        </w:rPr>
        <w:t>2006/006053/8.</w:t>
      </w:r>
    </w:p>
    <w:p w:rsidR="005A4270" w:rsidRDefault="005A4270" w:rsidP="005A4270">
      <w:pPr>
        <w:spacing w:after="60"/>
        <w:jc w:val="both"/>
        <w:rPr>
          <w:sz w:val="24"/>
          <w:szCs w:val="24"/>
        </w:rPr>
      </w:pPr>
      <w:r w:rsidRPr="006C034E">
        <w:rPr>
          <w:sz w:val="24"/>
          <w:szCs w:val="24"/>
        </w:rPr>
        <w:t xml:space="preserve">Pořizovací cena tréninkové plochy činí 712 592,10 Kč. </w:t>
      </w:r>
    </w:p>
    <w:p w:rsidR="005A4270" w:rsidRPr="000A1A8B" w:rsidRDefault="005A4270" w:rsidP="005A4270">
      <w:pPr>
        <w:pStyle w:val="vlevo"/>
      </w:pPr>
      <w:r w:rsidRPr="000A1A8B">
        <w:t xml:space="preserve">Souhrnné stanovisko Technického úřadu, Odboru rozvoje a plánování MMP, pod </w:t>
      </w:r>
      <w:proofErr w:type="gramStart"/>
      <w:r w:rsidRPr="000A1A8B">
        <w:t>č.j.</w:t>
      </w:r>
      <w:proofErr w:type="gramEnd"/>
      <w:r w:rsidRPr="000A1A8B">
        <w:t xml:space="preserve"> MMP/3474/19 ze dne </w:t>
      </w:r>
      <w:r>
        <w:t>4</w:t>
      </w:r>
      <w:r w:rsidRPr="000A1A8B">
        <w:t xml:space="preserve">. </w:t>
      </w:r>
      <w:r>
        <w:t>3</w:t>
      </w:r>
      <w:r w:rsidRPr="000A1A8B">
        <w:t>. 2019, je k darování nemovité věci – sportovní zařízení,</w:t>
      </w:r>
      <w:r>
        <w:t xml:space="preserve"> souhlasné </w:t>
      </w:r>
      <w:r w:rsidRPr="000A1A8B">
        <w:t xml:space="preserve"> </w:t>
      </w:r>
      <w:r>
        <w:t>(</w:t>
      </w:r>
      <w:r w:rsidRPr="000A1A8B">
        <w:t>příloha č. 1</w:t>
      </w:r>
      <w:r>
        <w:t>)</w:t>
      </w:r>
      <w:r w:rsidRPr="000A1A8B">
        <w:t xml:space="preserve">. </w:t>
      </w:r>
    </w:p>
    <w:p w:rsidR="005A4270" w:rsidRDefault="005A4270" w:rsidP="005A4270">
      <w:pPr>
        <w:pStyle w:val="vlevo"/>
      </w:pPr>
      <w:r w:rsidRPr="000A1A8B">
        <w:t xml:space="preserve">OSI MMP souhlasí se získáním </w:t>
      </w:r>
      <w:r>
        <w:t xml:space="preserve">tréninkového </w:t>
      </w:r>
      <w:r w:rsidRPr="000A1A8B">
        <w:t>hř</w:t>
      </w:r>
      <w:r>
        <w:t>iště</w:t>
      </w:r>
      <w:r w:rsidRPr="000A1A8B">
        <w:t xml:space="preserve"> do své správy.</w:t>
      </w:r>
      <w:r>
        <w:t xml:space="preserve"> </w:t>
      </w:r>
    </w:p>
    <w:p w:rsidR="005A4270" w:rsidRDefault="005A4270" w:rsidP="005A4270">
      <w:pPr>
        <w:pStyle w:val="vlevo"/>
      </w:pPr>
      <w:r>
        <w:t xml:space="preserve">MO Plzeň 3 ve formě přijatého usnesení RMO </w:t>
      </w:r>
      <w:r w:rsidRPr="004A433D">
        <w:t>Plzeň 3 č. 150 ze dne 20. 3. 2019 souhlasí s darováním tohoto sportovního zařízení – hřiště do majetku města Plzně – viz příloha č. 2.</w:t>
      </w:r>
    </w:p>
    <w:p w:rsidR="005A4270" w:rsidRDefault="005A4270" w:rsidP="005A4270">
      <w:pPr>
        <w:pStyle w:val="vlevo"/>
      </w:pPr>
      <w:r>
        <w:t>KNM RMP ze dne 11. 4. 2019 doporučila RMP souhlasit s danou majetkovou transakcí</w:t>
      </w:r>
      <w:r w:rsidR="00A92818">
        <w:t>.</w:t>
      </w:r>
      <w:r>
        <w:t xml:space="preserve"> </w:t>
      </w:r>
    </w:p>
    <w:p w:rsidR="00A92818" w:rsidRDefault="00A92818" w:rsidP="005A4270">
      <w:pPr>
        <w:pStyle w:val="vlevo"/>
      </w:pPr>
      <w:r>
        <w:t>RMP svým usnesením</w:t>
      </w:r>
      <w:r w:rsidR="0020177F">
        <w:t xml:space="preserve"> č. 417</w:t>
      </w:r>
      <w:r>
        <w:t xml:space="preserve"> ze dne 29. 4. 2019 souhlasí s danou majetkovou transakcí.</w:t>
      </w:r>
    </w:p>
    <w:p w:rsidR="005A4270" w:rsidRDefault="005A4270" w:rsidP="005A4270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 xml:space="preserve">Předpokládaný cílový stav </w:t>
      </w:r>
    </w:p>
    <w:p w:rsidR="005A4270" w:rsidRDefault="005A4270" w:rsidP="005A4270">
      <w:pPr>
        <w:pStyle w:val="vlevo"/>
      </w:pPr>
      <w:r>
        <w:t xml:space="preserve">Rozhodnutí města Plzně o přijetí daru sportovního zařízení </w:t>
      </w:r>
      <w:r w:rsidRPr="006C034E">
        <w:rPr>
          <w:szCs w:val="24"/>
        </w:rPr>
        <w:t>(tréninkové</w:t>
      </w:r>
      <w:r>
        <w:rPr>
          <w:szCs w:val="24"/>
        </w:rPr>
        <w:t>ho</w:t>
      </w:r>
      <w:r w:rsidRPr="006C034E">
        <w:rPr>
          <w:szCs w:val="24"/>
        </w:rPr>
        <w:t xml:space="preserve"> hřiště)  umístěné</w:t>
      </w:r>
      <w:r>
        <w:rPr>
          <w:szCs w:val="24"/>
        </w:rPr>
        <w:t>ho</w:t>
      </w:r>
      <w:r w:rsidRPr="006C034E">
        <w:rPr>
          <w:szCs w:val="24"/>
        </w:rPr>
        <w:t xml:space="preserve"> na části pozemku </w:t>
      </w:r>
      <w:proofErr w:type="spellStart"/>
      <w:r w:rsidRPr="006C034E">
        <w:rPr>
          <w:szCs w:val="24"/>
        </w:rPr>
        <w:t>parc</w:t>
      </w:r>
      <w:proofErr w:type="spellEnd"/>
      <w:r w:rsidRPr="006C034E">
        <w:rPr>
          <w:szCs w:val="24"/>
        </w:rPr>
        <w:t xml:space="preserve">. </w:t>
      </w:r>
      <w:proofErr w:type="gramStart"/>
      <w:r w:rsidRPr="006C034E">
        <w:rPr>
          <w:szCs w:val="24"/>
        </w:rPr>
        <w:t>č.</w:t>
      </w:r>
      <w:proofErr w:type="gramEnd"/>
      <w:r w:rsidRPr="006C034E">
        <w:rPr>
          <w:szCs w:val="24"/>
        </w:rPr>
        <w:t xml:space="preserve"> 6411/</w:t>
      </w:r>
      <w:r>
        <w:rPr>
          <w:szCs w:val="24"/>
        </w:rPr>
        <w:t xml:space="preserve">1 a části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6411/2</w:t>
      </w:r>
      <w:r w:rsidRPr="006C034E">
        <w:rPr>
          <w:szCs w:val="24"/>
        </w:rPr>
        <w:t xml:space="preserve">, </w:t>
      </w:r>
      <w:r>
        <w:rPr>
          <w:szCs w:val="24"/>
        </w:rPr>
        <w:t xml:space="preserve">oba v </w:t>
      </w:r>
      <w:r w:rsidRPr="006C034E">
        <w:rPr>
          <w:szCs w:val="24"/>
        </w:rPr>
        <w:t xml:space="preserve">k. </w:t>
      </w:r>
      <w:proofErr w:type="spellStart"/>
      <w:r w:rsidRPr="006C034E">
        <w:rPr>
          <w:szCs w:val="24"/>
        </w:rPr>
        <w:t>ú.</w:t>
      </w:r>
      <w:proofErr w:type="spellEnd"/>
      <w:r w:rsidRPr="006C034E">
        <w:rPr>
          <w:szCs w:val="24"/>
        </w:rPr>
        <w:t xml:space="preserve"> </w:t>
      </w:r>
      <w:proofErr w:type="gramStart"/>
      <w:r w:rsidRPr="006C034E">
        <w:rPr>
          <w:szCs w:val="24"/>
        </w:rPr>
        <w:t>Plzeň</w:t>
      </w:r>
      <w:r>
        <w:rPr>
          <w:szCs w:val="24"/>
        </w:rPr>
        <w:t>,  do</w:t>
      </w:r>
      <w:proofErr w:type="gramEnd"/>
      <w:r>
        <w:rPr>
          <w:szCs w:val="24"/>
        </w:rPr>
        <w:t> majetku města Plzně.</w:t>
      </w:r>
      <w:r>
        <w:t xml:space="preserve"> Předmětné pozemky jsou ve vlastnictví města Plzně.</w:t>
      </w:r>
    </w:p>
    <w:p w:rsidR="005A4270" w:rsidRDefault="005A4270" w:rsidP="005A4270">
      <w:pPr>
        <w:pStyle w:val="vlevo"/>
      </w:pPr>
    </w:p>
    <w:p w:rsidR="005A4270" w:rsidRPr="00A13371" w:rsidRDefault="005A4270" w:rsidP="005A4270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Navrhované varianty řešení</w:t>
      </w:r>
      <w:r w:rsidRPr="00A13371">
        <w:rPr>
          <w:szCs w:val="24"/>
        </w:rPr>
        <w:t xml:space="preserve"> </w:t>
      </w:r>
    </w:p>
    <w:p w:rsidR="005A4270" w:rsidRDefault="005A4270" w:rsidP="005A4270">
      <w:pPr>
        <w:pStyle w:val="Paragrafneslovan"/>
        <w:ind w:left="0"/>
      </w:pPr>
      <w:r>
        <w:t>Viz návrh usnesení.</w:t>
      </w:r>
    </w:p>
    <w:p w:rsidR="005A4270" w:rsidRPr="00B16B86" w:rsidRDefault="005A4270" w:rsidP="005A4270">
      <w:pPr>
        <w:pStyle w:val="Paragrafneslovan"/>
        <w:ind w:left="0"/>
      </w:pPr>
    </w:p>
    <w:p w:rsidR="005A4270" w:rsidRDefault="005A4270" w:rsidP="005A4270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Doporučená varianta řešení</w:t>
      </w:r>
    </w:p>
    <w:p w:rsidR="005A4270" w:rsidRDefault="005A4270" w:rsidP="005A4270">
      <w:pPr>
        <w:pStyle w:val="vlevo"/>
      </w:pPr>
      <w:r>
        <w:t>Viz návrh usnesení.</w:t>
      </w:r>
    </w:p>
    <w:p w:rsidR="005A4270" w:rsidRPr="00F9085E" w:rsidRDefault="005A4270" w:rsidP="005A4270">
      <w:pPr>
        <w:pStyle w:val="Paragrafneslovan"/>
        <w:ind w:left="0"/>
        <w:rPr>
          <w:szCs w:val="24"/>
        </w:rPr>
      </w:pPr>
    </w:p>
    <w:p w:rsidR="005A4270" w:rsidRDefault="005A4270" w:rsidP="005A4270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t>Finanční nároky řešení a možnosti finančního krytí</w:t>
      </w:r>
    </w:p>
    <w:p w:rsidR="005A4270" w:rsidRDefault="005A4270" w:rsidP="005A4270">
      <w:pPr>
        <w:pStyle w:val="vlevo"/>
      </w:pPr>
      <w:r>
        <w:t>Žádné (smlouva nepodléhá vkladu do KN).</w:t>
      </w:r>
    </w:p>
    <w:p w:rsidR="005A4270" w:rsidRPr="0047070D" w:rsidRDefault="005A4270" w:rsidP="005A4270">
      <w:pPr>
        <w:pStyle w:val="vlevo"/>
      </w:pPr>
    </w:p>
    <w:p w:rsidR="005A4270" w:rsidRDefault="005A4270" w:rsidP="005A4270">
      <w:pPr>
        <w:pStyle w:val="ostzahl"/>
        <w:numPr>
          <w:ilvl w:val="0"/>
          <w:numId w:val="3"/>
        </w:numPr>
        <w:suppressAutoHyphens/>
        <w:jc w:val="left"/>
      </w:pPr>
      <w:r>
        <w:rPr>
          <w:szCs w:val="24"/>
        </w:rPr>
        <w:lastRenderedPageBreak/>
        <w:t>Návrh termínů realizace a určení zodpovědných pracovníků</w:t>
      </w:r>
    </w:p>
    <w:p w:rsidR="005A4270" w:rsidRDefault="005A4270" w:rsidP="005A4270">
      <w:pPr>
        <w:pStyle w:val="vlevo"/>
      </w:pPr>
      <w:r>
        <w:t xml:space="preserve">Viz návrh usnesení. </w:t>
      </w:r>
    </w:p>
    <w:p w:rsidR="005A4270" w:rsidRDefault="005A4270" w:rsidP="005A4270">
      <w:pPr>
        <w:pStyle w:val="vlevo"/>
      </w:pPr>
    </w:p>
    <w:p w:rsidR="005A4270" w:rsidRPr="00F9085E" w:rsidRDefault="005A4270" w:rsidP="005A4270">
      <w:pPr>
        <w:pStyle w:val="ostzahl"/>
        <w:numPr>
          <w:ilvl w:val="0"/>
          <w:numId w:val="3"/>
        </w:numPr>
        <w:suppressAutoHyphens/>
        <w:jc w:val="left"/>
        <w:rPr>
          <w:szCs w:val="24"/>
        </w:rPr>
      </w:pPr>
      <w:r>
        <w:rPr>
          <w:szCs w:val="24"/>
        </w:rPr>
        <w:t>Dříve přijatá usnesení orgánů města</w:t>
      </w:r>
    </w:p>
    <w:p w:rsidR="005A4270" w:rsidRDefault="005A4270" w:rsidP="005A427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A433D">
        <w:rPr>
          <w:sz w:val="24"/>
          <w:szCs w:val="24"/>
        </w:rPr>
        <w:t>usn</w:t>
      </w:r>
      <w:proofErr w:type="spellEnd"/>
      <w:r w:rsidRPr="004A433D">
        <w:rPr>
          <w:sz w:val="24"/>
          <w:szCs w:val="24"/>
        </w:rPr>
        <w:t>. RMP Plzeň 3 č. 150 ze dne 20. 3. 2019</w:t>
      </w:r>
    </w:p>
    <w:p w:rsidR="005A4270" w:rsidRDefault="005A4270" w:rsidP="005A427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KNM RMP ze dne 11. 4. 2019</w:t>
      </w:r>
    </w:p>
    <w:p w:rsidR="00A92818" w:rsidRPr="0020177F" w:rsidRDefault="00A92818" w:rsidP="005A427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177F">
        <w:rPr>
          <w:sz w:val="24"/>
          <w:szCs w:val="24"/>
        </w:rPr>
        <w:t>usn</w:t>
      </w:r>
      <w:proofErr w:type="spellEnd"/>
      <w:r w:rsidRPr="0020177F">
        <w:rPr>
          <w:sz w:val="24"/>
          <w:szCs w:val="24"/>
        </w:rPr>
        <w:t>. RMP</w:t>
      </w:r>
      <w:r w:rsidR="0020177F" w:rsidRPr="0020177F">
        <w:rPr>
          <w:sz w:val="24"/>
          <w:szCs w:val="24"/>
        </w:rPr>
        <w:t xml:space="preserve"> č. 417</w:t>
      </w:r>
      <w:r w:rsidRPr="0020177F">
        <w:rPr>
          <w:sz w:val="24"/>
          <w:szCs w:val="24"/>
        </w:rPr>
        <w:t xml:space="preserve"> ze dne 29. 4. 2019</w:t>
      </w:r>
    </w:p>
    <w:p w:rsidR="0020177F" w:rsidRDefault="0020177F" w:rsidP="0020177F">
      <w:pPr>
        <w:jc w:val="both"/>
        <w:rPr>
          <w:sz w:val="24"/>
          <w:szCs w:val="24"/>
        </w:rPr>
      </w:pPr>
      <w:hyperlink r:id="rId6" w:history="1">
        <w:r w:rsidRPr="00C65F62">
          <w:rPr>
            <w:rStyle w:val="Hypertextovodkaz"/>
            <w:sz w:val="24"/>
            <w:szCs w:val="24"/>
          </w:rPr>
          <w:t>https://usneseni.plze</w:t>
        </w:r>
        <w:r w:rsidRPr="00C65F62">
          <w:rPr>
            <w:rStyle w:val="Hypertextovodkaz"/>
            <w:sz w:val="24"/>
            <w:szCs w:val="24"/>
          </w:rPr>
          <w:t>n.eu/bin_Soubor.php?id=96136</w:t>
        </w:r>
      </w:hyperlink>
      <w:bookmarkStart w:id="0" w:name="_GoBack"/>
      <w:bookmarkEnd w:id="0"/>
    </w:p>
    <w:p w:rsidR="0020177F" w:rsidRPr="0020177F" w:rsidRDefault="0020177F" w:rsidP="0020177F">
      <w:pPr>
        <w:jc w:val="both"/>
        <w:rPr>
          <w:sz w:val="24"/>
          <w:szCs w:val="24"/>
          <w:highlight w:val="yellow"/>
        </w:rPr>
      </w:pPr>
    </w:p>
    <w:p w:rsidR="005A4270" w:rsidRPr="0003089A" w:rsidRDefault="005A4270" w:rsidP="005A4270">
      <w:pPr>
        <w:ind w:left="567" w:hanging="567"/>
        <w:jc w:val="both"/>
        <w:rPr>
          <w:sz w:val="24"/>
          <w:szCs w:val="24"/>
        </w:rPr>
      </w:pPr>
    </w:p>
    <w:p w:rsidR="005A4270" w:rsidRDefault="005A4270" w:rsidP="005A4270">
      <w:pPr>
        <w:pStyle w:val="ostzahl"/>
        <w:numPr>
          <w:ilvl w:val="0"/>
          <w:numId w:val="0"/>
        </w:numPr>
      </w:pPr>
      <w:r>
        <w:rPr>
          <w:szCs w:val="24"/>
        </w:rPr>
        <w:t>9.  Závazky či pohledávky vůči městu Plzni</w:t>
      </w:r>
    </w:p>
    <w:p w:rsidR="005A4270" w:rsidRDefault="005A4270" w:rsidP="005A4270">
      <w:pPr>
        <w:pStyle w:val="vlevo"/>
      </w:pPr>
      <w:r w:rsidRPr="00F37455">
        <w:t xml:space="preserve">Ke dni </w:t>
      </w:r>
      <w:r w:rsidRPr="00204C34">
        <w:t>7. 3. 2019</w:t>
      </w:r>
      <w:r>
        <w:t xml:space="preserve"> nemá klub HC PLZEŇ 1929 evidovány žádné pohledávky po splatnosti vůči městu Plzeň.</w:t>
      </w:r>
    </w:p>
    <w:p w:rsidR="005A4270" w:rsidRPr="008F6F8C" w:rsidRDefault="005A4270" w:rsidP="005A4270">
      <w:pPr>
        <w:pStyle w:val="vlevo"/>
      </w:pPr>
    </w:p>
    <w:p w:rsidR="005A4270" w:rsidRDefault="005A4270" w:rsidP="005A4270">
      <w:pPr>
        <w:pStyle w:val="ostzahl"/>
        <w:numPr>
          <w:ilvl w:val="0"/>
          <w:numId w:val="0"/>
        </w:numPr>
        <w:tabs>
          <w:tab w:val="left" w:pos="426"/>
        </w:tabs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5A4270" w:rsidRDefault="005A4270" w:rsidP="005A4270">
      <w:pPr>
        <w:ind w:left="1843" w:hanging="1843"/>
        <w:jc w:val="both"/>
        <w:rPr>
          <w:sz w:val="24"/>
          <w:szCs w:val="24"/>
        </w:rPr>
      </w:pPr>
      <w:r w:rsidRPr="007A6382">
        <w:rPr>
          <w:sz w:val="24"/>
          <w:szCs w:val="24"/>
        </w:rPr>
        <w:t xml:space="preserve">Příloha č. 1 </w:t>
      </w:r>
      <w:r>
        <w:rPr>
          <w:sz w:val="24"/>
          <w:szCs w:val="24"/>
        </w:rPr>
        <w:t xml:space="preserve">- stanovisko TÚ MMP. </w:t>
      </w:r>
    </w:p>
    <w:p w:rsidR="005A4270" w:rsidRPr="007A6382" w:rsidRDefault="005A4270" w:rsidP="005A4270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RMO Plzeň 3 č. 150 ze dne 20. 3. 2019.</w:t>
      </w:r>
    </w:p>
    <w:p w:rsidR="005A4270" w:rsidRDefault="005A4270" w:rsidP="005A4270">
      <w:pPr>
        <w:ind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7A6382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3</w:t>
      </w:r>
      <w:r w:rsidRPr="007A6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zaměření tréninkového hřiště. </w:t>
      </w:r>
    </w:p>
    <w:p w:rsidR="005A4270" w:rsidRDefault="005A4270" w:rsidP="005A4270">
      <w:pPr>
        <w:ind w:hanging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P“ří</w:t>
      </w:r>
      <w:proofErr w:type="spellEnd"/>
      <w:r>
        <w:rPr>
          <w:sz w:val="24"/>
          <w:szCs w:val="24"/>
        </w:rPr>
        <w:tab/>
        <w:t>Příloha č. 4 - fotodokumentace.</w:t>
      </w:r>
    </w:p>
    <w:p w:rsidR="005A4270" w:rsidRDefault="005A4270" w:rsidP="005A427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snímky KM - modrá mapa se zákresem, letecký snímek.</w:t>
      </w:r>
    </w:p>
    <w:p w:rsidR="005A4270" w:rsidRDefault="005A4270" w:rsidP="005A4270">
      <w:pPr>
        <w:ind w:left="3119" w:hanging="1418"/>
        <w:jc w:val="both"/>
        <w:rPr>
          <w:sz w:val="24"/>
          <w:szCs w:val="24"/>
        </w:rPr>
      </w:pPr>
    </w:p>
    <w:p w:rsidR="005A4270" w:rsidRDefault="005A4270" w:rsidP="005A4270">
      <w:pPr>
        <w:ind w:left="3119" w:hanging="1418"/>
        <w:jc w:val="both"/>
        <w:rPr>
          <w:sz w:val="24"/>
          <w:szCs w:val="24"/>
        </w:rPr>
      </w:pPr>
    </w:p>
    <w:p w:rsidR="005A4270" w:rsidRDefault="005A4270" w:rsidP="005A4270">
      <w:pPr>
        <w:jc w:val="both"/>
        <w:rPr>
          <w:sz w:val="24"/>
          <w:szCs w:val="24"/>
        </w:rPr>
      </w:pPr>
    </w:p>
    <w:p w:rsidR="005A4270" w:rsidRDefault="005A4270" w:rsidP="005A4270">
      <w:pPr>
        <w:jc w:val="both"/>
        <w:rPr>
          <w:sz w:val="24"/>
          <w:szCs w:val="24"/>
        </w:rPr>
      </w:pPr>
    </w:p>
    <w:p w:rsidR="005A4270" w:rsidRDefault="005A4270" w:rsidP="005A4270"/>
    <w:p w:rsidR="005A4270" w:rsidRDefault="005A4270" w:rsidP="005A4270"/>
    <w:p w:rsidR="005A4270" w:rsidRDefault="005A4270" w:rsidP="005A4270"/>
    <w:p w:rsidR="0010606F" w:rsidRDefault="0010606F"/>
    <w:sectPr w:rsidR="0010606F" w:rsidSect="006A24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7E43D9"/>
    <w:multiLevelType w:val="hybridMultilevel"/>
    <w:tmpl w:val="3F68DC50"/>
    <w:lvl w:ilvl="0" w:tplc="34C6F33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B7A2FD4"/>
    <w:multiLevelType w:val="singleLevel"/>
    <w:tmpl w:val="5718B11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0"/>
    <w:rsid w:val="0010606F"/>
    <w:rsid w:val="0020177F"/>
    <w:rsid w:val="005A4270"/>
    <w:rsid w:val="005C2A49"/>
    <w:rsid w:val="00A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427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427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A427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5A4270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5A4270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5A42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A4270"/>
    <w:pPr>
      <w:ind w:left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A42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7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4270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427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A4270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link w:val="ostzahlChar"/>
    <w:autoRedefine/>
    <w:rsid w:val="005A4270"/>
    <w:pPr>
      <w:numPr>
        <w:numId w:val="1"/>
      </w:numPr>
      <w:spacing w:before="120" w:after="120"/>
      <w:jc w:val="both"/>
    </w:pPr>
    <w:rPr>
      <w:b/>
      <w:spacing w:val="22"/>
      <w:sz w:val="24"/>
    </w:rPr>
  </w:style>
  <w:style w:type="character" w:customStyle="1" w:styleId="ostzahlChar">
    <w:name w:val="ostzahl Char"/>
    <w:basedOn w:val="Standardnpsmoodstavce"/>
    <w:link w:val="ostzahl"/>
    <w:rsid w:val="005A4270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vlevoChar">
    <w:name w:val="vlevo Char"/>
    <w:link w:val="vlevo"/>
    <w:rsid w:val="005A42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A4270"/>
    <w:pPr>
      <w:ind w:left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A42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7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96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4</cp:revision>
  <cp:lastPrinted>2019-05-02T07:03:00Z</cp:lastPrinted>
  <dcterms:created xsi:type="dcterms:W3CDTF">2019-04-17T11:12:00Z</dcterms:created>
  <dcterms:modified xsi:type="dcterms:W3CDTF">2019-05-02T07:05:00Z</dcterms:modified>
</cp:coreProperties>
</file>