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 w:rsidP="00082FB1">
      <w:pPr>
        <w:pStyle w:val="Paragrafneslovan"/>
      </w:pPr>
      <w:r>
        <w:tab/>
      </w:r>
      <w:r w:rsidR="00797DD1">
        <w:t>Poskytnutí individuálních finančních dotací z rozpočtu Kanceláře primátora MMP</w:t>
      </w:r>
      <w:r>
        <w:t>.</w:t>
      </w:r>
    </w:p>
    <w:p w:rsidR="00CC1235" w:rsidRDefault="00CC1235" w:rsidP="00082FB1">
      <w:pPr>
        <w:pStyle w:val="Paragrafneslovan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BC2040" w:rsidRPr="00F44B9D" w:rsidRDefault="000B4D8B" w:rsidP="008D20D8">
      <w:pPr>
        <w:pStyle w:val="Zkladntext"/>
        <w:tabs>
          <w:tab w:val="num" w:pos="360"/>
        </w:tabs>
        <w:ind w:left="357"/>
        <w:rPr>
          <w:b/>
        </w:rPr>
      </w:pPr>
      <w:r>
        <w:rPr>
          <w:b/>
        </w:rPr>
        <w:t>Biskupství plzeňské</w:t>
      </w:r>
    </w:p>
    <w:p w:rsidR="00880C6E" w:rsidRDefault="000B4D8B" w:rsidP="0008110A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45334439, náměstí Republiky 234/35, 301 00 Plzeň</w:t>
      </w:r>
    </w:p>
    <w:p w:rsidR="008D20D8" w:rsidRDefault="00EC6532" w:rsidP="004743CD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Pr="00EC6532">
        <w:rPr>
          <w:b/>
        </w:rPr>
        <w:t>Revitalizace Katedrály sv. Bartoloměje v Plzni</w:t>
      </w:r>
    </w:p>
    <w:p w:rsidR="00EC6532" w:rsidRDefault="00EC6532" w:rsidP="00970957">
      <w:pPr>
        <w:spacing w:after="60"/>
        <w:ind w:left="357"/>
        <w:jc w:val="both"/>
      </w:pPr>
      <w:r w:rsidRPr="00D02203">
        <w:t>Projekt je zaměřen na revitalizaci a rozšíření prohlídkové tr</w:t>
      </w:r>
      <w:r>
        <w:t>asy Katedrály sv. Bartoloměje v </w:t>
      </w:r>
      <w:r w:rsidRPr="00D02203">
        <w:t>Plzni, národní kulturní památky v historickém centru Plzně. Revitalizace zahrne stavební a technické úpravy prostoru kostela pro zvýšení komfortu návštěvníků, restaurátorské práce interiéru a mobiliáře. Dále projekt umožní rozšíření pr</w:t>
      </w:r>
      <w:r>
        <w:t>ohlídkové trasy pro veřejnost a </w:t>
      </w:r>
      <w:r w:rsidRPr="00D02203">
        <w:t xml:space="preserve">nabídne expozici a ukázky zpracované digitální formou. Projekt </w:t>
      </w:r>
      <w:r>
        <w:t>významně přispěje ke </w:t>
      </w:r>
      <w:r w:rsidRPr="00D02203">
        <w:t>zvýšení návštěvnické atraktivity této významné památky.</w:t>
      </w:r>
    </w:p>
    <w:p w:rsidR="00EC6532" w:rsidRDefault="00EC6532" w:rsidP="00EC6532">
      <w:pPr>
        <w:ind w:left="357"/>
        <w:jc w:val="both"/>
      </w:pPr>
      <w:r>
        <w:t>Projekt reaguje na potřebnost revitalizace Katedrály sv. Bartoloměje a řeší problémy v následujících oblastech:</w:t>
      </w:r>
    </w:p>
    <w:p w:rsidR="00EC6532" w:rsidRPr="00EC6532" w:rsidRDefault="00EC6532" w:rsidP="00EC6532">
      <w:pPr>
        <w:pStyle w:val="Odstavecseseznamem"/>
        <w:numPr>
          <w:ilvl w:val="0"/>
          <w:numId w:val="5"/>
        </w:numPr>
        <w:ind w:left="709" w:hanging="352"/>
        <w:jc w:val="both"/>
        <w:rPr>
          <w:i/>
        </w:rPr>
      </w:pPr>
      <w:r w:rsidRPr="00EC6532">
        <w:rPr>
          <w:i/>
        </w:rPr>
        <w:t>Chátrající interiér a exteriér</w:t>
      </w:r>
    </w:p>
    <w:p w:rsidR="00EC6532" w:rsidRDefault="00EC6532" w:rsidP="00EC6532">
      <w:pPr>
        <w:ind w:left="708"/>
        <w:jc w:val="both"/>
      </w:pPr>
      <w:r>
        <w:t>Obnova exteriéru katedrály proběhla začátkem 90. let, avšak již teď dochází k poškození některých zdobných prvků, které ohrožují kolemjdoucí. Velmi špatný stav interiéru je dán absencí zásahů a potřebné péče v uplynulých letech (poslední zásahy 30. léta 20. stol.). Projekt pomůže odvrátit trvalé poškození vybraných objektů (oltáře, sochy, nástěnné malby, varhany, kazatelka, vzácný mobiliář …).</w:t>
      </w:r>
    </w:p>
    <w:p w:rsidR="00EC6532" w:rsidRPr="00EC6532" w:rsidRDefault="00EC6532" w:rsidP="00EC6532">
      <w:pPr>
        <w:pStyle w:val="Odstavecseseznamem"/>
        <w:numPr>
          <w:ilvl w:val="0"/>
          <w:numId w:val="5"/>
        </w:numPr>
        <w:ind w:left="709" w:hanging="352"/>
        <w:jc w:val="both"/>
        <w:rPr>
          <w:i/>
        </w:rPr>
      </w:pPr>
      <w:r w:rsidRPr="00EC6532">
        <w:rPr>
          <w:i/>
        </w:rPr>
        <w:t>Nedostačující vybavenost objektu pro plnění jeho významných společenských funkcí</w:t>
      </w:r>
    </w:p>
    <w:p w:rsidR="00EC6532" w:rsidRDefault="00EC6532" w:rsidP="00EC6532">
      <w:pPr>
        <w:ind w:left="708"/>
        <w:jc w:val="both"/>
      </w:pPr>
      <w:r>
        <w:t xml:space="preserve">Katedrála plní významnou společenskou funkci. Je místem církevních obřadů i kulturně-společenských akcí v průběhu celého roku. Stavebně-technické úpravy projektu řeší </w:t>
      </w:r>
      <w:proofErr w:type="spellStart"/>
      <w:r>
        <w:t>nekomfort</w:t>
      </w:r>
      <w:proofErr w:type="spellEnd"/>
      <w:r>
        <w:t xml:space="preserve"> návštěvníků daný chladným prostředím katedrály a absenci toalet. Prostřednictvím zastaralého až nefunkčního osvětlení a elektroinstalace v katedrále nedochází k účelnému zhodnocení a prezentaci historických a uměleckých hodnot katedrály. V oblasti technické řeší projekt nedostatečné zabezpečení objektu pomocí elektronické komunikace a kamerového systému</w:t>
      </w:r>
    </w:p>
    <w:p w:rsidR="00EC6532" w:rsidRPr="00970957" w:rsidRDefault="00EC6532" w:rsidP="00EC6532">
      <w:pPr>
        <w:pStyle w:val="Odstavecseseznamem"/>
        <w:numPr>
          <w:ilvl w:val="0"/>
          <w:numId w:val="5"/>
        </w:numPr>
        <w:ind w:left="709" w:hanging="352"/>
        <w:jc w:val="both"/>
        <w:rPr>
          <w:i/>
        </w:rPr>
      </w:pPr>
      <w:r w:rsidRPr="00970957">
        <w:rPr>
          <w:i/>
        </w:rPr>
        <w:t>Způsoby prezentace památky a využití jejího turistického potenciálu</w:t>
      </w:r>
    </w:p>
    <w:p w:rsidR="00EC6532" w:rsidRDefault="00EC6532" w:rsidP="00970957">
      <w:pPr>
        <w:ind w:left="708"/>
        <w:jc w:val="both"/>
      </w:pPr>
      <w:r>
        <w:t>Katedrála nabízí návštěvníkovi 3 způsoby proh</w:t>
      </w:r>
      <w:r w:rsidR="00970957">
        <w:t>lídky: 1) nahlédnutí mřížovým z </w:t>
      </w:r>
      <w:r>
        <w:t>vymezeného prostoru u hlavního vchodu, 2) zpoplatněnou návštěvnickou trasu kostelní věže s pravidelnou a celoroční otevírací dobou, 3) organizovanou prohlídku interiéru v turistické sezóně či po předchozí d</w:t>
      </w:r>
      <w:r w:rsidR="00970957">
        <w:t>omluvě. Projekt reaguje na následující</w:t>
      </w:r>
      <w:r>
        <w:t xml:space="preserve"> skutečnosti, bránící intenzivnějšího využití památky pro cestovní ruch a prezentaci:</w:t>
      </w:r>
    </w:p>
    <w:p w:rsidR="00EC6532" w:rsidRDefault="00EC6532" w:rsidP="00970957">
      <w:pPr>
        <w:pStyle w:val="Odstavecseseznamem"/>
        <w:numPr>
          <w:ilvl w:val="1"/>
          <w:numId w:val="6"/>
        </w:numPr>
        <w:ind w:left="993" w:hanging="284"/>
        <w:jc w:val="both"/>
      </w:pPr>
      <w:r>
        <w:t xml:space="preserve">Nevýrazná prezentace prohlídkových okruhů </w:t>
      </w:r>
      <w:r w:rsidR="00970957">
        <w:t>(témata, otevírací doba, vstupy</w:t>
      </w:r>
      <w:r>
        <w:t>)</w:t>
      </w:r>
      <w:r w:rsidR="00970957">
        <w:t>.</w:t>
      </w:r>
    </w:p>
    <w:p w:rsidR="00EC6532" w:rsidRDefault="00EC6532" w:rsidP="00970957">
      <w:pPr>
        <w:pStyle w:val="Odstavecseseznamem"/>
        <w:numPr>
          <w:ilvl w:val="1"/>
          <w:numId w:val="6"/>
        </w:numPr>
        <w:ind w:left="993" w:hanging="284"/>
        <w:jc w:val="both"/>
      </w:pPr>
      <w:r>
        <w:t>Nedostačující škála informací o historickém, společenské</w:t>
      </w:r>
      <w:r w:rsidR="00970957">
        <w:t>m i uměleckém významu katedrály.</w:t>
      </w:r>
    </w:p>
    <w:p w:rsidR="00EC6532" w:rsidRDefault="00EC6532" w:rsidP="00970957">
      <w:pPr>
        <w:pStyle w:val="Odstavecseseznamem"/>
        <w:numPr>
          <w:ilvl w:val="1"/>
          <w:numId w:val="6"/>
        </w:numPr>
        <w:ind w:left="993" w:hanging="284"/>
        <w:jc w:val="both"/>
      </w:pPr>
      <w:r>
        <w:t>Nízká atraktivita informačních materiálů</w:t>
      </w:r>
      <w:r w:rsidR="00970957">
        <w:t>.</w:t>
      </w:r>
    </w:p>
    <w:p w:rsidR="00EC6532" w:rsidRDefault="00EC6532" w:rsidP="00970957">
      <w:pPr>
        <w:pStyle w:val="Odstavecseseznamem"/>
        <w:numPr>
          <w:ilvl w:val="1"/>
          <w:numId w:val="6"/>
        </w:numPr>
        <w:ind w:left="993" w:hanging="284"/>
        <w:jc w:val="both"/>
      </w:pPr>
      <w:r>
        <w:t>Absence vysvětlujících panelů</w:t>
      </w:r>
      <w:r w:rsidR="00970957">
        <w:t xml:space="preserve"> v prostorech prohlídkové trasy.</w:t>
      </w:r>
    </w:p>
    <w:p w:rsidR="00EC6532" w:rsidRDefault="00EC6532" w:rsidP="00970957">
      <w:pPr>
        <w:pStyle w:val="Odstavecseseznamem"/>
        <w:numPr>
          <w:ilvl w:val="1"/>
          <w:numId w:val="6"/>
        </w:numPr>
        <w:spacing w:after="60" w:line="235" w:lineRule="auto"/>
        <w:ind w:left="993" w:right="79" w:hanging="284"/>
        <w:jc w:val="both"/>
      </w:pPr>
      <w:r>
        <w:t>Absence využití moderních digitálních technologií při prezentaci památky</w:t>
      </w:r>
      <w:r w:rsidR="00970957">
        <w:t>.</w:t>
      </w:r>
    </w:p>
    <w:p w:rsidR="00970957" w:rsidRPr="00970957" w:rsidRDefault="00970957" w:rsidP="00970957">
      <w:pPr>
        <w:spacing w:after="60"/>
        <w:ind w:left="357"/>
        <w:jc w:val="both"/>
      </w:pPr>
      <w:r w:rsidRPr="00970957">
        <w:t>Projekt by měl být ukončen v roce 2021. Nejvě</w:t>
      </w:r>
      <w:r>
        <w:t>tší náklady budou vynaloženy na </w:t>
      </w:r>
      <w:r w:rsidRPr="00970957">
        <w:t xml:space="preserve">architektonicko-stavební řešení (37 mil. Kč), restaurování nástěnných a nástropních maleb, omítek a mobiliáře (30 mil. Kč), opravu varhan (10 mil. Kč), nové osvětlení (7 mil. Kč), opravu kostelních lavic vč. vyhřívání (5 mil. Kč), novou elektroinstalaci (2 mil. Kč), </w:t>
      </w:r>
      <w:r w:rsidRPr="00970957">
        <w:lastRenderedPageBreak/>
        <w:t>rozšíření prohlídkového okruhu katedrály (1 mil. Kč), vytvoření nové expozice v podkroví (1 mil. Kč).</w:t>
      </w:r>
    </w:p>
    <w:p w:rsidR="00970957" w:rsidRPr="00970957" w:rsidRDefault="00970957" w:rsidP="00970957">
      <w:pPr>
        <w:spacing w:after="60"/>
        <w:ind w:left="357"/>
        <w:jc w:val="both"/>
      </w:pPr>
      <w:r w:rsidRPr="00970957">
        <w:t xml:space="preserve">Celkové náklady představují částku 103 mil. Kč. Na projekt bylo </w:t>
      </w:r>
      <w:r>
        <w:t>zažádáno o dotaci ve 13. </w:t>
      </w:r>
      <w:r w:rsidRPr="00970957">
        <w:t xml:space="preserve">výzvě Integrovaného regionálního operačního programu </w:t>
      </w:r>
      <w:r>
        <w:t>-</w:t>
      </w:r>
      <w:r w:rsidRPr="00970957">
        <w:t xml:space="preserve"> Revitalizace vybraných památek. Žádost byla úspěšná. Výše dotace činí 95%. </w:t>
      </w:r>
      <w:r>
        <w:t>Skutečná spoluúčast zahrnující i </w:t>
      </w:r>
      <w:r w:rsidRPr="00970957">
        <w:t>nezbytné, ale z hlediska projektu neuznatelné výdaje, je pře</w:t>
      </w:r>
      <w:r>
        <w:t xml:space="preserve">dpokládána ze zkušeností ve výši 10%, což je pro diecézi </w:t>
      </w:r>
      <w:r w:rsidRPr="00970957">
        <w:t>příliš velká částka</w:t>
      </w:r>
      <w:r>
        <w:t>.</w:t>
      </w:r>
    </w:p>
    <w:p w:rsidR="008D20D8" w:rsidRPr="00970957" w:rsidRDefault="00970957" w:rsidP="00117B39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Požadovaná d</w:t>
      </w:r>
      <w:r w:rsidRPr="00970957">
        <w:rPr>
          <w:szCs w:val="24"/>
        </w:rPr>
        <w:t xml:space="preserve">otace </w:t>
      </w:r>
      <w:r>
        <w:rPr>
          <w:szCs w:val="24"/>
        </w:rPr>
        <w:t>by tak</w:t>
      </w:r>
      <w:r w:rsidRPr="00970957">
        <w:rPr>
          <w:szCs w:val="24"/>
        </w:rPr>
        <w:t xml:space="preserve"> b</w:t>
      </w:r>
      <w:r>
        <w:rPr>
          <w:szCs w:val="24"/>
        </w:rPr>
        <w:t>yla</w:t>
      </w:r>
      <w:r w:rsidRPr="00970957">
        <w:rPr>
          <w:szCs w:val="24"/>
        </w:rPr>
        <w:t xml:space="preserve"> vynaložena na neinvestiční náklady související s projektem „Revitalizace </w:t>
      </w:r>
      <w:r w:rsidR="0027439E">
        <w:rPr>
          <w:szCs w:val="24"/>
        </w:rPr>
        <w:t>K</w:t>
      </w:r>
      <w:r w:rsidRPr="00970957">
        <w:rPr>
          <w:szCs w:val="24"/>
        </w:rPr>
        <w:t>atedrály sv. Bartoloměje v Plzni“, především na pokrytí spoluúčasti nákladů na restaurování.</w:t>
      </w:r>
    </w:p>
    <w:p w:rsidR="008D20D8" w:rsidRPr="00592D22" w:rsidRDefault="008D20D8" w:rsidP="008D20D8">
      <w:pPr>
        <w:ind w:firstLine="357"/>
        <w:jc w:val="both"/>
      </w:pPr>
      <w:r w:rsidRPr="00592D22">
        <w:t>Požadovaná částka:</w:t>
      </w:r>
      <w:r w:rsidRPr="00592D22">
        <w:tab/>
      </w:r>
      <w:r>
        <w:t>2</w:t>
      </w:r>
      <w:r w:rsidR="000B4D8B">
        <w:t>5</w:t>
      </w:r>
      <w:r>
        <w:t>0</w:t>
      </w:r>
      <w:r w:rsidRPr="00592D22">
        <w:t>.000,- Kč</w:t>
      </w:r>
    </w:p>
    <w:p w:rsidR="008D20D8" w:rsidRPr="00592D22" w:rsidRDefault="008D20D8" w:rsidP="008D20D8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>2</w:t>
      </w:r>
      <w:r w:rsidR="000B4D8B">
        <w:t>5</w:t>
      </w:r>
      <w:r>
        <w:t>0</w:t>
      </w:r>
      <w:r w:rsidRPr="00592D22">
        <w:t>.000,- Kč</w:t>
      </w:r>
    </w:p>
    <w:p w:rsidR="008D20D8" w:rsidRDefault="008D20D8" w:rsidP="008D20D8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2017 - 2019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3544"/>
        <w:gridCol w:w="861"/>
        <w:gridCol w:w="1123"/>
        <w:gridCol w:w="1134"/>
        <w:gridCol w:w="1134"/>
        <w:gridCol w:w="851"/>
      </w:tblGrid>
      <w:tr w:rsidR="000657AD" w:rsidTr="001F6928">
        <w:trPr>
          <w:trHeight w:val="255"/>
        </w:trPr>
        <w:tc>
          <w:tcPr>
            <w:tcW w:w="1049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45334439 - Biskupství plzeňské</w:t>
            </w:r>
          </w:p>
        </w:tc>
      </w:tr>
      <w:tr w:rsidR="000657AD" w:rsidTr="001F6928">
        <w:trPr>
          <w:trHeight w:val="225"/>
        </w:trPr>
        <w:tc>
          <w:tcPr>
            <w:tcW w:w="12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P/III/5 - Kapky medu pro zahradu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P/III/6 - Noc kostelů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Noc kostelů 2017 -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9.6.2017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Pohádkové náměstí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30.6.2017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 a Vánoce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359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</w:t>
            </w:r>
            <w:r w:rsidR="001F6928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Katedrála sv. Bartoloměje - turistický cíl města Plzně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393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Oprava fasády průčelí františkánského kláštera - západní křídlo - jaro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24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P/III/11 - Noc kostelů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P/III/12 - Kapky medu pro zahradu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Světový den seniorů 2018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Oslava 100 let vzniku Československé republiky a 25 let vzniku plzeňské diecéze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Pohádkové náměstí - 29. 6.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 kostelů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 a Vánoce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</w:t>
            </w:r>
            <w:r w:rsidR="001F6928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Meditační zahrada v novém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95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</w:t>
            </w:r>
            <w:r w:rsidR="001F6928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Katedrála sv. Bartoloměje - turistický cíl města Plzně II. etapa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24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361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P/II/19 - Biskupství plzeňské - Pohádkové náměstí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P/III/31 - Biskupství plzeňské - Noc kostelů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Advent, Vánoce a Svíce pro naše zemřelé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 kostelů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Kapky medu pro meditační zahradu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Pohádkové náměstí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387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</w:t>
            </w:r>
            <w:r w:rsidR="001F6928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VĚŽ A KATEDRÁLA SV. BARTOLOMĚJE - TURISTICKÝ CÍL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</w:t>
            </w:r>
            <w:r w:rsidR="001F6928">
              <w:rPr>
                <w:rFonts w:ascii="Arial" w:hAnsi="Arial" w:cs="Arial"/>
                <w:color w:val="000000"/>
                <w:sz w:val="16"/>
                <w:szCs w:val="16"/>
              </w:rPr>
              <w:t>PRIM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Revitalizace Katedrály sv. Bartoloměje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24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24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D20D8" w:rsidRDefault="008D20D8" w:rsidP="001F6928">
      <w:pPr>
        <w:pStyle w:val="Zkladntext"/>
        <w:tabs>
          <w:tab w:val="num" w:pos="360"/>
        </w:tabs>
        <w:spacing w:after="120"/>
      </w:pPr>
    </w:p>
    <w:p w:rsidR="001F6928" w:rsidRDefault="001F6928" w:rsidP="001F6928">
      <w:pPr>
        <w:pStyle w:val="Zkladntext"/>
        <w:tabs>
          <w:tab w:val="num" w:pos="360"/>
        </w:tabs>
        <w:spacing w:after="120"/>
      </w:pPr>
    </w:p>
    <w:p w:rsidR="008D20D8" w:rsidRDefault="008D20D8" w:rsidP="008D20D8">
      <w:pPr>
        <w:pStyle w:val="Paragrafneeslovan"/>
        <w:ind w:firstLine="357"/>
        <w:rPr>
          <w:b/>
        </w:rPr>
      </w:pPr>
      <w:r w:rsidRPr="00D27726">
        <w:rPr>
          <w:b/>
        </w:rPr>
        <w:lastRenderedPageBreak/>
        <w:t>S</w:t>
      </w:r>
      <w:r w:rsidR="000B4D8B">
        <w:rPr>
          <w:b/>
        </w:rPr>
        <w:t>vět knihy</w:t>
      </w:r>
      <w:r w:rsidRPr="00D27726">
        <w:rPr>
          <w:b/>
        </w:rPr>
        <w:t>, s.r.o.</w:t>
      </w:r>
    </w:p>
    <w:p w:rsidR="008D20D8" w:rsidRDefault="000B4D8B" w:rsidP="008D20D8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25603990, Fügnerovo nám. 1808/3, 120 00 Praha 2 - Nové Město</w:t>
      </w:r>
    </w:p>
    <w:p w:rsidR="004D41D2" w:rsidRDefault="004D41D2" w:rsidP="004D41D2">
      <w:pPr>
        <w:pStyle w:val="Zkladntext"/>
        <w:tabs>
          <w:tab w:val="num" w:pos="360"/>
        </w:tabs>
        <w:spacing w:after="120"/>
        <w:ind w:left="1416" w:hanging="1050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Pr="004D41D2">
        <w:rPr>
          <w:b/>
        </w:rPr>
        <w:t>2. ročník mezinárodního knižního veletrhu a literárního festivalu Svět knihy Plzeň</w:t>
      </w:r>
    </w:p>
    <w:p w:rsidR="00BE308F" w:rsidRDefault="00BE308F" w:rsidP="00177C06">
      <w:pPr>
        <w:spacing w:after="60"/>
        <w:ind w:left="357"/>
        <w:jc w:val="both"/>
      </w:pPr>
      <w:r>
        <w:t>Společnost Svět knihy, s.r.o. pořádala v letošním roce již 25. ročník Mezinárodního knižního veletrhu a literárního festivalu Svět knihy Praha. Tato akce si postupem času vybudovala jak mezinárodní renomé, tak přízeň návštěvníků. Je průřezovo</w:t>
      </w:r>
      <w:r w:rsidR="00177C06">
        <w:t>u akcí, na níž se </w:t>
      </w:r>
      <w:r>
        <w:t>představuje většina relevantních domácích vydavatelství, zahraničních kulturních institutů i ambasád, odborné a profesní organizace, působící v literární branži a knižním průmyslu.</w:t>
      </w:r>
      <w:r w:rsidR="00177C06">
        <w:t xml:space="preserve"> </w:t>
      </w:r>
      <w:r>
        <w:t>Letos akci poprvé navštívilo více než 50</w:t>
      </w:r>
      <w:r w:rsidR="00177C06">
        <w:t xml:space="preserve"> </w:t>
      </w:r>
      <w:r>
        <w:t>000 návštěvníků,</w:t>
      </w:r>
      <w:r w:rsidR="00177C06">
        <w:t xml:space="preserve"> vystavovalo zde na </w:t>
      </w:r>
      <w:r>
        <w:t xml:space="preserve">400 vystavovatelů </w:t>
      </w:r>
      <w:proofErr w:type="gramStart"/>
      <w:r>
        <w:t>ze</w:t>
      </w:r>
      <w:proofErr w:type="gramEnd"/>
      <w:r>
        <w:t xml:space="preserve"> 30</w:t>
      </w:r>
      <w:r w:rsidR="00177C06">
        <w:t>-</w:t>
      </w:r>
      <w:r>
        <w:t xml:space="preserve">ti zemí. V rámci literárního festivalu proběhlo více než 800 programů </w:t>
      </w:r>
      <w:r w:rsidR="00177C06">
        <w:t>-</w:t>
      </w:r>
      <w:r>
        <w:t xml:space="preserve"> čtení, besed, výstav, odborných diskuzí, panelů, divadelních představení, koncertů atd. Hlavními hosty byli dva literární nobelisté </w:t>
      </w:r>
      <w:r w:rsidR="00177C06">
        <w:t>-</w:t>
      </w:r>
      <w:r>
        <w:t xml:space="preserve"> Mario </w:t>
      </w:r>
      <w:proofErr w:type="spellStart"/>
      <w:r>
        <w:t>Vargas</w:t>
      </w:r>
      <w:proofErr w:type="spellEnd"/>
      <w:r>
        <w:t xml:space="preserve"> </w:t>
      </w:r>
      <w:proofErr w:type="spellStart"/>
      <w:r>
        <w:t>Llosa</w:t>
      </w:r>
      <w:proofErr w:type="spellEnd"/>
      <w:r>
        <w:t xml:space="preserve"> a Herta Müllerová.</w:t>
      </w:r>
      <w:r w:rsidR="00177C06">
        <w:t xml:space="preserve"> </w:t>
      </w:r>
      <w:r>
        <w:t xml:space="preserve">Formát akce, spojující prodejní veletrh a literární festival je v ČR unikátní, vedle ní probíhá v Praze ještě respektovaný Festival spisovatelů, který je však pouze literárním festivalem. Dále stojí za zmínku již jen táborský </w:t>
      </w:r>
      <w:proofErr w:type="spellStart"/>
      <w:r>
        <w:t>TABook</w:t>
      </w:r>
      <w:proofErr w:type="spellEnd"/>
      <w:r>
        <w:t>, který se soustřeďuje na menší nekomerční nakladatele a veletrh v Havlíčkově Brodě, který má však pouze regionální dosah a nelze jej označit přídomkem mezinárodní.</w:t>
      </w:r>
    </w:p>
    <w:p w:rsidR="00BE308F" w:rsidRDefault="00BE308F" w:rsidP="00177C06">
      <w:pPr>
        <w:spacing w:after="60"/>
        <w:ind w:left="357"/>
        <w:jc w:val="both"/>
      </w:pPr>
      <w:r w:rsidRPr="00177C06">
        <w:t>Již v loňském roce se proto společnost rozhodla zorganizovat ještě jeden, rozsahem menší knižní veletrh a literární festival, který se nebude konat v Praze, která sama o sobě žije bohatým literárním provozem, ale spíše v regionu, kde by mohla naopak literární provoz povzbudit.</w:t>
      </w:r>
      <w:r w:rsidR="00177C06">
        <w:t xml:space="preserve"> </w:t>
      </w:r>
      <w:r>
        <w:t xml:space="preserve">Po důkladné rešerši byla pro realizaci zvolena Plzeň. Pro myšlenku nového veletrhu se podařilo získat podporu představenstva SČKN i závazný příslib účasti klíčových členů Svazu, kteří jsou současně největší hráči na knižním trhu. Prvního ročníku se tak zúčastnilo na šedesát vystavovatelů, kteří nabídli veřejnosti cca 80 akcí a celou řadu domácích a zahraničních hostů, mezi nimiž je třeba zmínit Mariusze </w:t>
      </w:r>
      <w:proofErr w:type="spellStart"/>
      <w:r>
        <w:t>Sczygiela</w:t>
      </w:r>
      <w:proofErr w:type="spellEnd"/>
      <w:r>
        <w:t xml:space="preserve">, nejčtenějšího švédského autora Iana </w:t>
      </w:r>
      <w:proofErr w:type="spellStart"/>
      <w:r>
        <w:t>Guilloua</w:t>
      </w:r>
      <w:proofErr w:type="spellEnd"/>
      <w:r>
        <w:t xml:space="preserve">, čínského disidenta </w:t>
      </w:r>
      <w:proofErr w:type="spellStart"/>
      <w:r>
        <w:t>Liao</w:t>
      </w:r>
      <w:proofErr w:type="spellEnd"/>
      <w:r>
        <w:t xml:space="preserve"> I-</w:t>
      </w:r>
      <w:proofErr w:type="spellStart"/>
      <w:r>
        <w:t>wu</w:t>
      </w:r>
      <w:proofErr w:type="spellEnd"/>
      <w:r>
        <w:t xml:space="preserve"> či </w:t>
      </w:r>
      <w:proofErr w:type="spellStart"/>
      <w:r>
        <w:t>polotajnou</w:t>
      </w:r>
      <w:proofErr w:type="spellEnd"/>
      <w:r>
        <w:t xml:space="preserve"> návštěvu </w:t>
      </w:r>
      <w:proofErr w:type="spellStart"/>
      <w:r>
        <w:t>Liou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. </w:t>
      </w:r>
      <w:r w:rsidR="00177C06">
        <w:t>Jednalo se o</w:t>
      </w:r>
      <w:r>
        <w:t xml:space="preserve"> první mezinárodní akc</w:t>
      </w:r>
      <w:r w:rsidR="00177C06">
        <w:t>i</w:t>
      </w:r>
      <w:r>
        <w:t>, kterou tato básnířka navštívila poté, co se jí podařilo vycestovat z Číny. Význam akce podtrhla také účast sedmi ambasadorů vystavujících zemí i hned napoprvé úctyhodná návštěvnost 8</w:t>
      </w:r>
      <w:r w:rsidR="00EC7DC6">
        <w:t>,</w:t>
      </w:r>
      <w:r>
        <w:t>5</w:t>
      </w:r>
      <w:r w:rsidR="00EC7DC6">
        <w:t xml:space="preserve"> tis.</w:t>
      </w:r>
      <w:r>
        <w:t xml:space="preserve"> milovníků literatury. Velký ohlas měla akce u západočeských knihovníků (200 osob) </w:t>
      </w:r>
      <w:r w:rsidR="00177C06">
        <w:t>a škol (44 </w:t>
      </w:r>
      <w:r>
        <w:t>školních výprav).</w:t>
      </w:r>
      <w:r w:rsidR="00177C06">
        <w:t xml:space="preserve"> </w:t>
      </w:r>
      <w:r>
        <w:t>Přestože akce skončila ekonomicky v</w:t>
      </w:r>
      <w:r w:rsidR="00177C06">
        <w:t> </w:t>
      </w:r>
      <w:r>
        <w:t>deficitu</w:t>
      </w:r>
      <w:r w:rsidR="00177C06">
        <w:t xml:space="preserve"> (- 300 tis. Kč)</w:t>
      </w:r>
      <w:r>
        <w:t xml:space="preserve">, </w:t>
      </w:r>
      <w:r w:rsidR="00177C06">
        <w:t xml:space="preserve">byl </w:t>
      </w:r>
      <w:r>
        <w:t xml:space="preserve">první ročník </w:t>
      </w:r>
      <w:r w:rsidR="00177C06">
        <w:t xml:space="preserve">považován </w:t>
      </w:r>
      <w:r>
        <w:t xml:space="preserve">za více než slibný a </w:t>
      </w:r>
      <w:r w:rsidR="00177C06">
        <w:t xml:space="preserve">zřizovatel (Svaz českých knihkupců a nakladatelů) se </w:t>
      </w:r>
      <w:r>
        <w:t>rozhodl v založené tradici pokračovat.</w:t>
      </w:r>
    </w:p>
    <w:p w:rsidR="00177C06" w:rsidRDefault="00177C06" w:rsidP="00177C06">
      <w:pPr>
        <w:ind w:left="357"/>
        <w:jc w:val="both"/>
      </w:pPr>
      <w:r>
        <w:t>2. ročník Mezinárodního knižního veletrhu Plzeň tak návštěvníkům nabídne:</w:t>
      </w:r>
    </w:p>
    <w:p w:rsidR="00BE308F" w:rsidRDefault="00BE308F" w:rsidP="00177C06">
      <w:pPr>
        <w:pStyle w:val="Odstavecseseznamem"/>
        <w:numPr>
          <w:ilvl w:val="0"/>
          <w:numId w:val="5"/>
        </w:numPr>
        <w:ind w:left="709" w:hanging="352"/>
        <w:jc w:val="both"/>
      </w:pPr>
      <w:r>
        <w:t xml:space="preserve">Expozice cca </w:t>
      </w:r>
      <w:r w:rsidR="00177C06">
        <w:t>sedmdesá</w:t>
      </w:r>
      <w:r>
        <w:t>ti nakladatelství napříč celým spektrem (velcí i malí nakladatelé, specializovaní nakladatelé, univerzitní a odborná nakladatelství) s možností zakoupení knih za nižší než obvyklé ceny.</w:t>
      </w:r>
    </w:p>
    <w:p w:rsidR="00177C06" w:rsidRDefault="00177C06" w:rsidP="00177C06">
      <w:pPr>
        <w:pStyle w:val="Odstavecseseznamem"/>
        <w:numPr>
          <w:ilvl w:val="0"/>
          <w:numId w:val="5"/>
        </w:numPr>
        <w:ind w:left="709" w:hanging="352"/>
        <w:jc w:val="both"/>
      </w:pPr>
      <w:r>
        <w:t>Prezentace zahraničních literatur, prostřednictvím expozic a akcí zahraničních kulturních středisek a ambasád.</w:t>
      </w:r>
    </w:p>
    <w:p w:rsidR="00177C06" w:rsidRDefault="00177C06" w:rsidP="00177C06">
      <w:pPr>
        <w:pStyle w:val="Odstavecseseznamem"/>
        <w:numPr>
          <w:ilvl w:val="0"/>
          <w:numId w:val="5"/>
        </w:numPr>
        <w:ind w:left="709" w:hanging="352"/>
        <w:jc w:val="both"/>
      </w:pPr>
      <w:r>
        <w:t xml:space="preserve">Účast cca pěti zahraničních autorů a cca padesáti autorů domácích, vč. významných osobností ze společenské, kulturní či vědecké sféry. V tuto chvíli lze vypíchnout např. návštěvu Antonia </w:t>
      </w:r>
      <w:proofErr w:type="spellStart"/>
      <w:r>
        <w:t>Iturbeho</w:t>
      </w:r>
      <w:proofErr w:type="spellEnd"/>
      <w:r>
        <w:t xml:space="preserve"> (Knihovnice z Osvětimi), spojenou s unikátním setkáním s hlavní hrdinkou jeho světového bestselleru, paní Ditou Krausovou. Vedle toho Svět knihy Plzeň také přinese světové první veřejné uvedení filmu Národní třída na motivy knihy Jaroslava </w:t>
      </w:r>
      <w:proofErr w:type="spellStart"/>
      <w:r>
        <w:t>Rudiše</w:t>
      </w:r>
      <w:proofErr w:type="spellEnd"/>
      <w:r>
        <w:t>.</w:t>
      </w:r>
    </w:p>
    <w:p w:rsidR="00177C06" w:rsidRDefault="00177C06" w:rsidP="00177C06">
      <w:pPr>
        <w:pStyle w:val="Odstavecseseznamem"/>
        <w:numPr>
          <w:ilvl w:val="0"/>
          <w:numId w:val="5"/>
        </w:numPr>
        <w:ind w:left="709" w:hanging="352"/>
        <w:jc w:val="both"/>
      </w:pPr>
      <w:r>
        <w:t>Na rozdíl od loňského roku již se podařilo zajistit čestného hosta, kterým bude letos Polsko. Plzeňský Svět knihy bude první akcí celého literárního česko-polského roku, kdy ČR bude zároveň hostovat na veletrhu ve Varšavě.</w:t>
      </w:r>
    </w:p>
    <w:p w:rsidR="00177C06" w:rsidRDefault="00177C06" w:rsidP="00177C06">
      <w:pPr>
        <w:pStyle w:val="Odstavecseseznamem"/>
        <w:numPr>
          <w:ilvl w:val="0"/>
          <w:numId w:val="5"/>
        </w:numPr>
        <w:spacing w:after="60"/>
        <w:ind w:left="709" w:hanging="352"/>
        <w:jc w:val="both"/>
      </w:pPr>
      <w:r>
        <w:lastRenderedPageBreak/>
        <w:t>Chystá se více než 100 kulturních pořadů - křtů nových knih, scénických čtení, diskuzí, debat, výstav, autogramiád i odborný program pro profesionály, jakož i další bohatý doprovodný a kulturní program.</w:t>
      </w:r>
    </w:p>
    <w:p w:rsidR="00BE308F" w:rsidRDefault="00BE308F" w:rsidP="00EC7DC6">
      <w:pPr>
        <w:spacing w:after="60"/>
        <w:ind w:left="357"/>
        <w:jc w:val="both"/>
      </w:pPr>
      <w:r w:rsidRPr="00EC7DC6">
        <w:t>Centrem akce bude areál DEPO2015, který je pro takovou akci ideální, nicméně řada akcí proběhne i v jiných prostorách</w:t>
      </w:r>
      <w:r w:rsidR="00EC7DC6" w:rsidRPr="00EC7DC6">
        <w:t xml:space="preserve"> v rámci celé Plzně -</w:t>
      </w:r>
      <w:r w:rsidRPr="00EC7DC6">
        <w:t xml:space="preserve"> Loosovy interiéry, Plzeňský Prazdroj, apod.</w:t>
      </w:r>
      <w:r w:rsidR="00EC7DC6">
        <w:t xml:space="preserve"> </w:t>
      </w:r>
      <w:r>
        <w:t>Termín akce byl zvolen také s ohledem na to, že v daném období startuje hlavní knižní předvánoční sezóna a akce tak bude pro vystavovatele atraktivní pro uskutečnění křtů novinek za účasti populárních osobností a zvýšeného zájmu médií.</w:t>
      </w:r>
      <w:r w:rsidR="00EC7DC6">
        <w:t xml:space="preserve"> </w:t>
      </w:r>
      <w:r>
        <w:t xml:space="preserve">Mottem letošního ročníku </w:t>
      </w:r>
      <w:r w:rsidRPr="00EC7DC6">
        <w:t>je „Střet nebo setkání světů?!“ Kromě</w:t>
      </w:r>
      <w:r>
        <w:t xml:space="preserve"> zmíněného polského hostování do Plzně přenese</w:t>
      </w:r>
      <w:r w:rsidR="00EC7DC6">
        <w:t xml:space="preserve"> pořadatel</w:t>
      </w:r>
      <w:r>
        <w:t xml:space="preserve"> také podařené formáty z hostování Latinské Ameriky na pražském veletrhu. Plzeňskému publiku tak nabídne kulturní produkty a hodnoty, které významně přesahují rozpočet plzeňské akce.</w:t>
      </w:r>
    </w:p>
    <w:p w:rsidR="00BE308F" w:rsidRDefault="00BE308F" w:rsidP="00EC7DC6">
      <w:pPr>
        <w:spacing w:after="60"/>
        <w:ind w:left="357"/>
        <w:jc w:val="both"/>
      </w:pPr>
      <w:r>
        <w:t>V roce 201</w:t>
      </w:r>
      <w:r w:rsidR="00EC7DC6">
        <w:t>9</w:t>
      </w:r>
      <w:r>
        <w:t xml:space="preserve"> si připomínáme třicet let od Sametové revoluce. Toto téma </w:t>
      </w:r>
      <w:r w:rsidR="00EC7DC6">
        <w:t xml:space="preserve">pořadatel </w:t>
      </w:r>
      <w:r>
        <w:t>akcentuje komiksovou výstavou, ale také větší debatou, na které mimo jiné spolupracuje s knihovnou Václava Havla.</w:t>
      </w:r>
    </w:p>
    <w:p w:rsidR="00BE308F" w:rsidRPr="00EC7DC6" w:rsidRDefault="00BE308F" w:rsidP="00EC7DC6">
      <w:pPr>
        <w:spacing w:after="120"/>
        <w:ind w:left="357"/>
        <w:jc w:val="both"/>
      </w:pPr>
      <w:r w:rsidRPr="00EC7DC6">
        <w:t>Celkový rozpočet akce</w:t>
      </w:r>
      <w:r w:rsidR="00EC7DC6">
        <w:t>, jejímž cílem je přilákat 10 tis. návštěvníků,</w:t>
      </w:r>
      <w:r w:rsidRPr="00EC7DC6">
        <w:t xml:space="preserve"> činí 1.75</w:t>
      </w:r>
      <w:r w:rsidR="00EC7DC6">
        <w:t>0.000,- Kč a </w:t>
      </w:r>
      <w:r w:rsidRPr="00EC7DC6">
        <w:t>bude většinově pokryt z příspěvků jednotlivých vystavovatelů. Příspěvky od veřejných subjektů nebudou čerpány na expozice a akce vystavovatelů, ale na kulturní program.</w:t>
      </w:r>
      <w:r w:rsidR="00EC7DC6">
        <w:t xml:space="preserve"> </w:t>
      </w:r>
      <w:r w:rsidR="00EC7DC6" w:rsidRPr="002D0E30">
        <w:t xml:space="preserve">Dotace by pak byla </w:t>
      </w:r>
      <w:r w:rsidRPr="002D0E30">
        <w:t xml:space="preserve">využita </w:t>
      </w:r>
      <w:r w:rsidR="002D0E30" w:rsidRPr="002D0E30">
        <w:t xml:space="preserve">zejména </w:t>
      </w:r>
      <w:r w:rsidRPr="002D0E30">
        <w:t>na pronájem prostor</w:t>
      </w:r>
      <w:r w:rsidRPr="00EC7DC6">
        <w:t>.</w:t>
      </w:r>
    </w:p>
    <w:p w:rsidR="00117B39" w:rsidRPr="00592D22" w:rsidRDefault="00117B39" w:rsidP="00117B39">
      <w:pPr>
        <w:ind w:firstLine="357"/>
        <w:jc w:val="both"/>
      </w:pPr>
      <w:r w:rsidRPr="00592D22">
        <w:t>Požadovaná částka:</w:t>
      </w:r>
      <w:r w:rsidRPr="00592D22">
        <w:tab/>
      </w:r>
      <w:r w:rsidR="000B4D8B">
        <w:t>1</w:t>
      </w:r>
      <w:r w:rsidR="0090114C">
        <w:t>0</w:t>
      </w:r>
      <w:r>
        <w:t>0</w:t>
      </w:r>
      <w:r w:rsidRPr="00592D22">
        <w:t>.000,- Kč</w:t>
      </w:r>
    </w:p>
    <w:p w:rsidR="00117B39" w:rsidRDefault="00117B39" w:rsidP="00117B39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 w:rsidR="000B4D8B">
        <w:t>10</w:t>
      </w:r>
      <w:r>
        <w:t>0</w:t>
      </w:r>
      <w:r w:rsidRPr="00592D22">
        <w:t>.000,- Kč</w:t>
      </w:r>
    </w:p>
    <w:p w:rsidR="001F6928" w:rsidRPr="00592D22" w:rsidRDefault="001F6928" w:rsidP="001F6928">
      <w:pPr>
        <w:spacing w:after="120"/>
        <w:ind w:left="357"/>
        <w:jc w:val="both"/>
      </w:pPr>
      <w:r w:rsidRPr="00B024A5">
        <w:t xml:space="preserve">Schválením dotace poskytuje poskytovatel příjemci veřejnou podporu „de </w:t>
      </w:r>
      <w:proofErr w:type="spellStart"/>
      <w:r w:rsidRPr="00B024A5">
        <w:t>minimis</w:t>
      </w:r>
      <w:proofErr w:type="spellEnd"/>
      <w:r w:rsidRPr="00B024A5">
        <w:t xml:space="preserve">“. Právní vztahy při poskytování této podpory de </w:t>
      </w:r>
      <w:proofErr w:type="spellStart"/>
      <w:r w:rsidRPr="00B024A5">
        <w:t>minimis</w:t>
      </w:r>
      <w:proofErr w:type="spellEnd"/>
      <w:r w:rsidRPr="00B024A5">
        <w:t xml:space="preserve"> se řídí ustanoveními Nařízení Evropské komise č. 1407/2013 ze dne 18. prosince 2013 o pou</w:t>
      </w:r>
      <w:r>
        <w:t>žití článků 107 a 108 Smlouvy o </w:t>
      </w:r>
      <w:r w:rsidRPr="00B024A5">
        <w:t xml:space="preserve">fungování Evropské unie na podporu de </w:t>
      </w:r>
      <w:proofErr w:type="spellStart"/>
      <w:r w:rsidRPr="00B024A5">
        <w:t>minimis</w:t>
      </w:r>
      <w:proofErr w:type="spellEnd"/>
      <w:r w:rsidRPr="00B024A5">
        <w:t>, uveřejněno v Úředním věstníku Evropské unie L 352 dne 24. prosince 2013.</w:t>
      </w:r>
    </w:p>
    <w:p w:rsidR="00117B39" w:rsidRDefault="00117B39" w:rsidP="00117B39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</w:t>
      </w:r>
      <w:r w:rsidR="006E7DCE" w:rsidRPr="000657AD">
        <w:t xml:space="preserve">7 </w:t>
      </w:r>
      <w:r w:rsidR="0008110A" w:rsidRPr="000657AD">
        <w:t>-</w:t>
      </w:r>
      <w:r w:rsidR="006E7DCE" w:rsidRPr="000657AD">
        <w:t xml:space="preserve"> 2019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3685"/>
        <w:gridCol w:w="861"/>
        <w:gridCol w:w="982"/>
        <w:gridCol w:w="992"/>
        <w:gridCol w:w="993"/>
        <w:gridCol w:w="992"/>
      </w:tblGrid>
      <w:tr w:rsidR="000657AD" w:rsidTr="001F6928">
        <w:trPr>
          <w:trHeight w:val="255"/>
        </w:trPr>
        <w:tc>
          <w:tcPr>
            <w:tcW w:w="1034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25603990 - Svět knihy, s.r.o.</w:t>
            </w:r>
          </w:p>
        </w:tc>
      </w:tr>
      <w:tr w:rsidR="000657AD" w:rsidTr="001F6928">
        <w:trPr>
          <w:trHeight w:val="225"/>
        </w:trPr>
        <w:tc>
          <w:tcPr>
            <w:tcW w:w="12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657AD" w:rsidTr="001F6928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657AD" w:rsidRDefault="00065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657AD" w:rsidRDefault="000657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657AD" w:rsidTr="001F6928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M/47 - Čtením k demokratickému myšlení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3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ID_Svět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knihy, s.r.o. - Mezinárodní knižní veletrh a literární festival Svět knihy Plzeň - 1. ročník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657AD" w:rsidTr="001F6928">
        <w:trPr>
          <w:trHeight w:val="417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Mezinárodní knižní veletrh a literární festival Svět knihy Plzeň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3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657AD" w:rsidTr="001F6928">
        <w:trPr>
          <w:trHeight w:val="385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657AD" w:rsidRDefault="00065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ročník mezinárodního knižního veletrhu a literárního festivalu Svět knihy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657AD" w:rsidRDefault="000657AD" w:rsidP="001F69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3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657AD" w:rsidTr="001F6928">
        <w:trPr>
          <w:trHeight w:val="240"/>
        </w:trPr>
        <w:tc>
          <w:tcPr>
            <w:tcW w:w="63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657AD" w:rsidRDefault="000657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</w:tbl>
    <w:p w:rsidR="005657D5" w:rsidRDefault="005657D5" w:rsidP="005657D5">
      <w:pPr>
        <w:pStyle w:val="Zkladntext"/>
        <w:tabs>
          <w:tab w:val="num" w:pos="360"/>
        </w:tabs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Pr="00082FB1" w:rsidRDefault="00CC1235" w:rsidP="00082FB1">
      <w:pPr>
        <w:pStyle w:val="Paragrafneslovan"/>
      </w:pPr>
      <w:r>
        <w:tab/>
      </w:r>
      <w:r w:rsidR="00880C6E" w:rsidRPr="00082FB1">
        <w:t>Poskytnutí individuálních finančních dotací z rozpočtu Kanceláře primátora MMP žadatelům dle bodu II. návrhu usnesení</w:t>
      </w:r>
      <w:r w:rsidR="002E6B5C" w:rsidRPr="00082FB1">
        <w:t>.</w:t>
      </w:r>
    </w:p>
    <w:p w:rsidR="005657D5" w:rsidRPr="00082FB1" w:rsidRDefault="005657D5" w:rsidP="00082FB1">
      <w:pPr>
        <w:pStyle w:val="Paragrafneslovan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Doporučená varianta řešení</w:t>
      </w:r>
    </w:p>
    <w:p w:rsidR="00CC1235" w:rsidRDefault="00CC1235" w:rsidP="00216DC9">
      <w:pPr>
        <w:pStyle w:val="vlevo"/>
      </w:pPr>
      <w:r>
        <w:t>Viz návrh usnesení - bod II.</w:t>
      </w:r>
      <w:r w:rsidR="00AF521F">
        <w:t xml:space="preserve"> 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880C6E" w:rsidP="00216DC9">
      <w:pPr>
        <w:pStyle w:val="vlevo"/>
      </w:pPr>
      <w:r w:rsidRPr="00880C6E">
        <w:t>Nejsou. Finanční dotace budou</w:t>
      </w:r>
      <w:r w:rsidR="0008110A" w:rsidRPr="00880C6E">
        <w:t xml:space="preserve"> hrazen</w:t>
      </w:r>
      <w:r w:rsidRPr="00880C6E">
        <w:t>y</w:t>
      </w:r>
      <w:r w:rsidR="0008110A" w:rsidRPr="00880C6E">
        <w:t xml:space="preserve"> z</w:t>
      </w:r>
      <w:r w:rsidR="00C44B25">
        <w:t>e schváleného</w:t>
      </w:r>
      <w:r w:rsidR="0008110A" w:rsidRPr="00880C6E">
        <w:t xml:space="preserve"> rozpočtu Kanceláře primátora </w:t>
      </w:r>
      <w:r w:rsidR="00CF5A2D">
        <w:br/>
      </w:r>
      <w:r w:rsidR="0008110A" w:rsidRPr="00880C6E">
        <w:t>na rok 2019</w:t>
      </w:r>
      <w:r w:rsidR="00FD295F" w:rsidRP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08110A">
        <w:t>I</w:t>
      </w:r>
      <w:r w:rsidR="00AF521F">
        <w:t>II</w:t>
      </w:r>
      <w:r w:rsidR="007A6306">
        <w:t>.</w:t>
      </w:r>
      <w:bookmarkStart w:id="0" w:name="_GoBack"/>
      <w:bookmarkEnd w:id="0"/>
    </w:p>
    <w:p w:rsidR="005E555A" w:rsidRDefault="005E555A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 w:rsidP="0090114C">
      <w:pPr>
        <w:pStyle w:val="vlevo"/>
        <w:spacing w:after="0"/>
      </w:pPr>
      <w:r>
        <w:t xml:space="preserve">Usnesení ZMP č. </w:t>
      </w:r>
      <w:r w:rsidR="004E26A0">
        <w:t>4</w:t>
      </w:r>
      <w:r w:rsidR="00C242AB">
        <w:t>86</w:t>
      </w:r>
      <w:r>
        <w:t xml:space="preserve"> ze dne 1</w:t>
      </w:r>
      <w:r w:rsidR="00C242AB">
        <w:t>3</w:t>
      </w:r>
      <w:r>
        <w:t>. 12. 201</w:t>
      </w:r>
      <w:r w:rsidR="00C242AB">
        <w:t>8</w:t>
      </w:r>
      <w:r>
        <w:t xml:space="preserve"> - </w:t>
      </w:r>
      <w:r w:rsidRPr="0090114C">
        <w:rPr>
          <w:i/>
        </w:rPr>
        <w:t>schválení rozpočtu města Plzně na rok 201</w:t>
      </w:r>
      <w:r w:rsidR="00C242AB" w:rsidRPr="0090114C">
        <w:rPr>
          <w:i/>
        </w:rPr>
        <w:t>9</w:t>
      </w:r>
    </w:p>
    <w:p w:rsidR="0090114C" w:rsidRDefault="0090114C" w:rsidP="005E4E76">
      <w:pPr>
        <w:pStyle w:val="vlevo"/>
        <w:spacing w:after="0"/>
        <w:rPr>
          <w:i/>
        </w:rPr>
      </w:pPr>
      <w:r>
        <w:t xml:space="preserve">Usnesení ZMP č. </w:t>
      </w:r>
      <w:r w:rsidR="00D419A2">
        <w:t>133</w:t>
      </w:r>
      <w:r>
        <w:t xml:space="preserve"> ze dne 13. 5. 2019 - </w:t>
      </w:r>
      <w:r w:rsidRPr="0090114C">
        <w:rPr>
          <w:i/>
        </w:rPr>
        <w:t xml:space="preserve">schválení </w:t>
      </w:r>
      <w:r>
        <w:rPr>
          <w:i/>
        </w:rPr>
        <w:t xml:space="preserve">navýšení rozpočtu KP </w:t>
      </w:r>
      <w:r w:rsidRPr="0090114C">
        <w:rPr>
          <w:i/>
        </w:rPr>
        <w:t>na rok 2019</w:t>
      </w:r>
    </w:p>
    <w:p w:rsidR="005E4E76" w:rsidRDefault="005E4E76" w:rsidP="005E4E76">
      <w:pPr>
        <w:pStyle w:val="vlevo"/>
        <w:spacing w:after="0"/>
      </w:pPr>
      <w:r w:rsidRPr="001F017D">
        <w:rPr>
          <w:iCs/>
        </w:rPr>
        <w:t>U</w:t>
      </w:r>
      <w:r>
        <w:rPr>
          <w:iCs/>
        </w:rPr>
        <w:t xml:space="preserve">snesení RMP č. </w:t>
      </w:r>
      <w:r w:rsidR="005F204A">
        <w:rPr>
          <w:iCs/>
        </w:rPr>
        <w:t>761</w:t>
      </w:r>
      <w:r>
        <w:rPr>
          <w:iCs/>
        </w:rPr>
        <w:t xml:space="preserve"> ze dne 20. 8. 2019 - </w:t>
      </w:r>
      <w:r>
        <w:rPr>
          <w:i/>
          <w:iCs/>
        </w:rPr>
        <w:t>projednání předloženého usnesení v RMP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5E4E76" w:rsidRDefault="005E4E76" w:rsidP="0061778A">
      <w:pPr>
        <w:pStyle w:val="vlevo"/>
        <w:rPr>
          <w:bCs w:val="0"/>
        </w:rPr>
      </w:pPr>
      <w:r>
        <w:rPr>
          <w:bCs w:val="0"/>
        </w:rPr>
        <w:t>Nejsou.</w:t>
      </w:r>
    </w:p>
    <w:p w:rsidR="00CC1235" w:rsidRDefault="00CC1235" w:rsidP="00202403">
      <w:pPr>
        <w:pStyle w:val="vlevo"/>
        <w:ind w:left="0"/>
      </w:pPr>
    </w:p>
    <w:p w:rsidR="00216DC9" w:rsidRDefault="00C04973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D" w:rsidRDefault="008A17ED">
      <w:r>
        <w:separator/>
      </w:r>
    </w:p>
  </w:endnote>
  <w:endnote w:type="continuationSeparator" w:id="0">
    <w:p w:rsidR="008A17ED" w:rsidRDefault="008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647A5C" w:rsidRDefault="00CB52B6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7A6306">
      <w:rPr>
        <w:noProof/>
        <w:sz w:val="20"/>
      </w:rPr>
      <w:t>5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7A6306">
      <w:rPr>
        <w:noProof/>
        <w:sz w:val="20"/>
      </w:rPr>
      <w:t>5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D" w:rsidRDefault="008A17ED">
      <w:r>
        <w:separator/>
      </w:r>
    </w:p>
  </w:footnote>
  <w:footnote w:type="continuationSeparator" w:id="0">
    <w:p w:rsidR="008A17ED" w:rsidRDefault="008A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A41CF4" w:rsidRDefault="005E4E76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CB52B6">
      <w:rPr>
        <w:sz w:val="22"/>
        <w:szCs w:val="22"/>
      </w:rPr>
      <w:t>MP 2</w:t>
    </w:r>
    <w:r w:rsidR="00CB52B6" w:rsidRPr="00A41CF4">
      <w:rPr>
        <w:sz w:val="22"/>
        <w:szCs w:val="22"/>
      </w:rPr>
      <w:t xml:space="preserve">. </w:t>
    </w:r>
    <w:r>
      <w:rPr>
        <w:sz w:val="22"/>
        <w:szCs w:val="22"/>
      </w:rPr>
      <w:t>9</w:t>
    </w:r>
    <w:r w:rsidR="00CB52B6" w:rsidRPr="00A41CF4">
      <w:rPr>
        <w:sz w:val="22"/>
        <w:szCs w:val="22"/>
      </w:rPr>
      <w:t>. 20</w:t>
    </w:r>
    <w:r w:rsidR="00CB52B6">
      <w:rPr>
        <w:sz w:val="22"/>
        <w:szCs w:val="22"/>
      </w:rPr>
      <w:t>19 - KP/</w:t>
    </w:r>
    <w:r w:rsidR="00D25C54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976"/>
    <w:multiLevelType w:val="hybridMultilevel"/>
    <w:tmpl w:val="7A023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CA1927"/>
    <w:multiLevelType w:val="hybridMultilevel"/>
    <w:tmpl w:val="14CAD8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2D6EF9A">
      <w:numFmt w:val="bullet"/>
      <w:lvlText w:val="-"/>
      <w:lvlJc w:val="left"/>
      <w:pPr>
        <w:ind w:left="2142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23AD2"/>
    <w:rsid w:val="00053C52"/>
    <w:rsid w:val="00055E85"/>
    <w:rsid w:val="00060C3D"/>
    <w:rsid w:val="00062850"/>
    <w:rsid w:val="000657AD"/>
    <w:rsid w:val="00071C59"/>
    <w:rsid w:val="0008110A"/>
    <w:rsid w:val="00082FB1"/>
    <w:rsid w:val="000A3493"/>
    <w:rsid w:val="000B4A7B"/>
    <w:rsid w:val="000B4D8B"/>
    <w:rsid w:val="000C1EC6"/>
    <w:rsid w:val="000C4C55"/>
    <w:rsid w:val="000C5B80"/>
    <w:rsid w:val="000E2270"/>
    <w:rsid w:val="000E2A52"/>
    <w:rsid w:val="000F0482"/>
    <w:rsid w:val="000F0C6A"/>
    <w:rsid w:val="00117B39"/>
    <w:rsid w:val="00117E01"/>
    <w:rsid w:val="00122F12"/>
    <w:rsid w:val="001255F2"/>
    <w:rsid w:val="0016346A"/>
    <w:rsid w:val="00165AC7"/>
    <w:rsid w:val="00177C06"/>
    <w:rsid w:val="0018066C"/>
    <w:rsid w:val="00183831"/>
    <w:rsid w:val="001C37EF"/>
    <w:rsid w:val="001F6928"/>
    <w:rsid w:val="00202403"/>
    <w:rsid w:val="0020265B"/>
    <w:rsid w:val="00207327"/>
    <w:rsid w:val="00210201"/>
    <w:rsid w:val="00216B40"/>
    <w:rsid w:val="00216DC9"/>
    <w:rsid w:val="00240F46"/>
    <w:rsid w:val="00250D3D"/>
    <w:rsid w:val="00257602"/>
    <w:rsid w:val="00261FFC"/>
    <w:rsid w:val="0027439E"/>
    <w:rsid w:val="002874CB"/>
    <w:rsid w:val="00290A62"/>
    <w:rsid w:val="00293886"/>
    <w:rsid w:val="002A631D"/>
    <w:rsid w:val="002C0FC8"/>
    <w:rsid w:val="002C29B2"/>
    <w:rsid w:val="002C54B5"/>
    <w:rsid w:val="002C761D"/>
    <w:rsid w:val="002D0E30"/>
    <w:rsid w:val="002E1599"/>
    <w:rsid w:val="002E6B5C"/>
    <w:rsid w:val="002F069E"/>
    <w:rsid w:val="003106A1"/>
    <w:rsid w:val="0031383C"/>
    <w:rsid w:val="0033274F"/>
    <w:rsid w:val="00334046"/>
    <w:rsid w:val="003402FA"/>
    <w:rsid w:val="00361BBC"/>
    <w:rsid w:val="00373C90"/>
    <w:rsid w:val="00392A5F"/>
    <w:rsid w:val="003B0442"/>
    <w:rsid w:val="003D0D91"/>
    <w:rsid w:val="003F6FBC"/>
    <w:rsid w:val="004055AB"/>
    <w:rsid w:val="00421B85"/>
    <w:rsid w:val="004743CD"/>
    <w:rsid w:val="004A2FA5"/>
    <w:rsid w:val="004A7C80"/>
    <w:rsid w:val="004C595B"/>
    <w:rsid w:val="004D41D2"/>
    <w:rsid w:val="004E1FB8"/>
    <w:rsid w:val="004E26A0"/>
    <w:rsid w:val="00500C6E"/>
    <w:rsid w:val="005431C1"/>
    <w:rsid w:val="005558D0"/>
    <w:rsid w:val="005657D5"/>
    <w:rsid w:val="0058616A"/>
    <w:rsid w:val="005B5B70"/>
    <w:rsid w:val="005C025F"/>
    <w:rsid w:val="005C2590"/>
    <w:rsid w:val="005C4234"/>
    <w:rsid w:val="005E4E76"/>
    <w:rsid w:val="005E555A"/>
    <w:rsid w:val="005F204A"/>
    <w:rsid w:val="00611576"/>
    <w:rsid w:val="0061778A"/>
    <w:rsid w:val="006208C5"/>
    <w:rsid w:val="00634E13"/>
    <w:rsid w:val="00645B4A"/>
    <w:rsid w:val="00647A5C"/>
    <w:rsid w:val="006740D5"/>
    <w:rsid w:val="0068062E"/>
    <w:rsid w:val="00685BBF"/>
    <w:rsid w:val="006929FC"/>
    <w:rsid w:val="006973EA"/>
    <w:rsid w:val="006A3DC7"/>
    <w:rsid w:val="006A7832"/>
    <w:rsid w:val="006A797D"/>
    <w:rsid w:val="006D0844"/>
    <w:rsid w:val="006E55CC"/>
    <w:rsid w:val="006E7DCE"/>
    <w:rsid w:val="00703F44"/>
    <w:rsid w:val="00721A55"/>
    <w:rsid w:val="00746A03"/>
    <w:rsid w:val="00751BD3"/>
    <w:rsid w:val="00793DDE"/>
    <w:rsid w:val="00797DD1"/>
    <w:rsid w:val="007A4F6F"/>
    <w:rsid w:val="007A6306"/>
    <w:rsid w:val="007B126C"/>
    <w:rsid w:val="007B6317"/>
    <w:rsid w:val="007D2822"/>
    <w:rsid w:val="007D2905"/>
    <w:rsid w:val="007D2BE3"/>
    <w:rsid w:val="007E06F6"/>
    <w:rsid w:val="007F5F21"/>
    <w:rsid w:val="00801CAD"/>
    <w:rsid w:val="00803095"/>
    <w:rsid w:val="00815878"/>
    <w:rsid w:val="00824960"/>
    <w:rsid w:val="00842152"/>
    <w:rsid w:val="008757C7"/>
    <w:rsid w:val="00880C6E"/>
    <w:rsid w:val="00887B6F"/>
    <w:rsid w:val="008A17ED"/>
    <w:rsid w:val="008A19A5"/>
    <w:rsid w:val="008B1E82"/>
    <w:rsid w:val="008B5E92"/>
    <w:rsid w:val="008C572B"/>
    <w:rsid w:val="008D20D8"/>
    <w:rsid w:val="0090114C"/>
    <w:rsid w:val="00910980"/>
    <w:rsid w:val="0094268C"/>
    <w:rsid w:val="009607F3"/>
    <w:rsid w:val="00970957"/>
    <w:rsid w:val="00971478"/>
    <w:rsid w:val="00972CD6"/>
    <w:rsid w:val="00976FF1"/>
    <w:rsid w:val="00980BEF"/>
    <w:rsid w:val="00983828"/>
    <w:rsid w:val="0099447A"/>
    <w:rsid w:val="009A6A79"/>
    <w:rsid w:val="009D5458"/>
    <w:rsid w:val="00A16CBB"/>
    <w:rsid w:val="00A21608"/>
    <w:rsid w:val="00A2786D"/>
    <w:rsid w:val="00A333C9"/>
    <w:rsid w:val="00A41CF4"/>
    <w:rsid w:val="00A816AF"/>
    <w:rsid w:val="00A81A78"/>
    <w:rsid w:val="00AD0964"/>
    <w:rsid w:val="00AF521F"/>
    <w:rsid w:val="00B054DC"/>
    <w:rsid w:val="00B06763"/>
    <w:rsid w:val="00B40CDB"/>
    <w:rsid w:val="00B737BE"/>
    <w:rsid w:val="00B73A41"/>
    <w:rsid w:val="00B77F96"/>
    <w:rsid w:val="00B8502D"/>
    <w:rsid w:val="00BB6578"/>
    <w:rsid w:val="00BC2040"/>
    <w:rsid w:val="00BC4941"/>
    <w:rsid w:val="00BD51D5"/>
    <w:rsid w:val="00BE2C37"/>
    <w:rsid w:val="00BE308F"/>
    <w:rsid w:val="00BF42AD"/>
    <w:rsid w:val="00C04973"/>
    <w:rsid w:val="00C123E4"/>
    <w:rsid w:val="00C242AB"/>
    <w:rsid w:val="00C42C4F"/>
    <w:rsid w:val="00C43D29"/>
    <w:rsid w:val="00C44B25"/>
    <w:rsid w:val="00C47B63"/>
    <w:rsid w:val="00C47D86"/>
    <w:rsid w:val="00C62624"/>
    <w:rsid w:val="00C64CFF"/>
    <w:rsid w:val="00C95B67"/>
    <w:rsid w:val="00CB52B6"/>
    <w:rsid w:val="00CC1235"/>
    <w:rsid w:val="00CC1311"/>
    <w:rsid w:val="00CD2EDE"/>
    <w:rsid w:val="00CD4FE0"/>
    <w:rsid w:val="00CF5A2D"/>
    <w:rsid w:val="00D20BD4"/>
    <w:rsid w:val="00D210F1"/>
    <w:rsid w:val="00D25C54"/>
    <w:rsid w:val="00D321EC"/>
    <w:rsid w:val="00D323BA"/>
    <w:rsid w:val="00D32518"/>
    <w:rsid w:val="00D333D9"/>
    <w:rsid w:val="00D419A2"/>
    <w:rsid w:val="00D46AD6"/>
    <w:rsid w:val="00D72D05"/>
    <w:rsid w:val="00D8155F"/>
    <w:rsid w:val="00D858C2"/>
    <w:rsid w:val="00DB318D"/>
    <w:rsid w:val="00DC291D"/>
    <w:rsid w:val="00DC783C"/>
    <w:rsid w:val="00DE5943"/>
    <w:rsid w:val="00DF2A44"/>
    <w:rsid w:val="00E37BC7"/>
    <w:rsid w:val="00E477EE"/>
    <w:rsid w:val="00E67B16"/>
    <w:rsid w:val="00E90965"/>
    <w:rsid w:val="00E933C8"/>
    <w:rsid w:val="00EA34E0"/>
    <w:rsid w:val="00EB6051"/>
    <w:rsid w:val="00EC6532"/>
    <w:rsid w:val="00EC7DC6"/>
    <w:rsid w:val="00F102D8"/>
    <w:rsid w:val="00F20A44"/>
    <w:rsid w:val="00F43C0E"/>
    <w:rsid w:val="00F44B9D"/>
    <w:rsid w:val="00F50C94"/>
    <w:rsid w:val="00F53506"/>
    <w:rsid w:val="00F61A0E"/>
    <w:rsid w:val="00F70DA3"/>
    <w:rsid w:val="00F96CDB"/>
    <w:rsid w:val="00FC05A3"/>
    <w:rsid w:val="00FD1E5C"/>
    <w:rsid w:val="00FD269D"/>
    <w:rsid w:val="00FD295F"/>
    <w:rsid w:val="00FE4B6C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2084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Hýblová Kristýna</cp:lastModifiedBy>
  <cp:revision>10</cp:revision>
  <cp:lastPrinted>2019-08-21T10:52:00Z</cp:lastPrinted>
  <dcterms:created xsi:type="dcterms:W3CDTF">2019-08-07T14:54:00Z</dcterms:created>
  <dcterms:modified xsi:type="dcterms:W3CDTF">2019-08-21T11:34:00Z</dcterms:modified>
</cp:coreProperties>
</file>