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0C" w:rsidRPr="001F29D7" w:rsidRDefault="00E51E0C" w:rsidP="00E51E0C">
      <w:pPr>
        <w:pStyle w:val="nadpcent"/>
        <w:rPr>
          <w:lang w:val="pt-BR"/>
        </w:rPr>
      </w:pPr>
      <w:r w:rsidRPr="001F29D7">
        <w:rPr>
          <w:lang w:val="pt-BR"/>
        </w:rPr>
        <w:t>Důvodová zpráva</w:t>
      </w:r>
    </w:p>
    <w:p w:rsidR="00E51E0C" w:rsidRDefault="00E51E0C" w:rsidP="00E51E0C">
      <w:pPr>
        <w:jc w:val="both"/>
        <w:rPr>
          <w:b/>
        </w:rPr>
      </w:pPr>
      <w:r>
        <w:rPr>
          <w:b/>
        </w:rPr>
        <w:t>1. Název problému a jeho charakteristika</w:t>
      </w:r>
    </w:p>
    <w:p w:rsidR="00B716D1" w:rsidRDefault="00B716D1" w:rsidP="00B716D1">
      <w:pPr>
        <w:jc w:val="both"/>
      </w:pPr>
      <w:r>
        <w:t>Žádost společnosti goodooga s.r.o., Choceňská 743, 199 00 Praha 9, o poskytnutí dotace z Fondu životního prostředí města Plzně na projekt „Zřízení a provozování portálu www.plzen.nevyhazujto.cz“.</w:t>
      </w:r>
    </w:p>
    <w:p w:rsidR="00E51E0C" w:rsidRPr="004941B2" w:rsidRDefault="00E51E0C" w:rsidP="00E51E0C">
      <w:pPr>
        <w:jc w:val="both"/>
        <w:rPr>
          <w:noProof w:val="0"/>
          <w:szCs w:val="20"/>
          <w:lang w:eastAsia="cs-CZ"/>
        </w:rPr>
      </w:pPr>
    </w:p>
    <w:p w:rsidR="00E51E0C" w:rsidRDefault="00E51E0C" w:rsidP="00E51E0C">
      <w:pPr>
        <w:jc w:val="both"/>
        <w:rPr>
          <w:b/>
          <w:szCs w:val="20"/>
          <w:lang w:eastAsia="cs-CZ"/>
        </w:rPr>
      </w:pPr>
      <w:r>
        <w:rPr>
          <w:b/>
        </w:rPr>
        <w:t>2. Konstatování současného stavu a jeho analýza</w:t>
      </w:r>
    </w:p>
    <w:p w:rsidR="00B716D1" w:rsidRDefault="00B716D1" w:rsidP="00B716D1">
      <w:pPr>
        <w:tabs>
          <w:tab w:val="left" w:pos="1980"/>
        </w:tabs>
        <w:jc w:val="both"/>
        <w:rPr>
          <w:szCs w:val="20"/>
          <w:lang w:eastAsia="cs-CZ"/>
        </w:rPr>
      </w:pPr>
      <w:r>
        <w:rPr>
          <w:szCs w:val="20"/>
          <w:lang w:eastAsia="cs-CZ"/>
        </w:rPr>
        <w:t>Společnost goodooga s.r.o. (dále jen „Žadatel“) požaduje dotaci ve výši 102 tis. Kč na projekt „Zřízení a provozování portálu www.plzen.nevyhazujto.cz“. Nevyhazujto.cz je internetový portál, který nabízí svým uživatelům možnost darovat či získat věci za odvoz zcela zdarma. Portál vznikl na konci roku 2011 a jeho nosnou myšlenkou je dát nepotřebným věcem druhou šanci, nevyhazovat je, ale smysluplně je využít někým jiným. Na jedné straně jsou tedy ti, kteří potřebují uvolnit místo ve svých bytech, sklepech a garážích, ale nechce se jim nepotřebné věci jen tak vyhazovat. Na straně druhé jsou pak ti, kterým se takové věci mohou hodit. Portál pomáhá šetřit místo, čas, peníze, životní prostředí tím, že nevzniká zbytečný odpad.</w:t>
      </w:r>
    </w:p>
    <w:p w:rsidR="00B716D1" w:rsidRDefault="00B716D1" w:rsidP="00B716D1">
      <w:pPr>
        <w:tabs>
          <w:tab w:val="left" w:pos="1980"/>
        </w:tabs>
        <w:jc w:val="both"/>
        <w:rPr>
          <w:szCs w:val="20"/>
          <w:lang w:eastAsia="cs-CZ"/>
        </w:rPr>
      </w:pPr>
      <w:r>
        <w:rPr>
          <w:szCs w:val="20"/>
          <w:lang w:eastAsia="cs-CZ"/>
        </w:rPr>
        <w:t xml:space="preserve">Cílem spolupráce s městem Plzeň je vytvoření a provozování portálu </w:t>
      </w:r>
      <w:hyperlink r:id="rId5" w:history="1">
        <w:r w:rsidRPr="00C07F1C">
          <w:rPr>
            <w:rStyle w:val="Hypertextovodkaz"/>
            <w:szCs w:val="20"/>
            <w:lang w:eastAsia="cs-CZ"/>
          </w:rPr>
          <w:t>www.plzen.nevyhazujto.cz</w:t>
        </w:r>
      </w:hyperlink>
      <w:r>
        <w:rPr>
          <w:szCs w:val="20"/>
          <w:lang w:eastAsia="cs-CZ"/>
        </w:rPr>
        <w:t xml:space="preserve">, na němž budou obyvatelé Plzně moci darovat či získat věci zdarma. Součástí lokalizace portálu je jeho grafické zpracování v barvách a s motivy města. Na portálu budou publikovány pouze inzeráty z Plzně. Oproti obecnému portálu </w:t>
      </w:r>
      <w:hyperlink r:id="rId6" w:history="1">
        <w:r w:rsidRPr="00C07F1C">
          <w:rPr>
            <w:rStyle w:val="Hypertextovodkaz"/>
            <w:szCs w:val="20"/>
            <w:lang w:eastAsia="cs-CZ"/>
          </w:rPr>
          <w:t>www.nevyhazujto.cz</w:t>
        </w:r>
      </w:hyperlink>
      <w:r>
        <w:rPr>
          <w:szCs w:val="20"/>
          <w:lang w:eastAsia="cs-CZ"/>
        </w:rPr>
        <w:t xml:space="preserve"> neobsahují městské lokalizace žádná reklamní sdělení. Přínosem lokalizované verze portálu bude snížení množství odpadu generovaného na území města Plzně.  </w:t>
      </w:r>
    </w:p>
    <w:p w:rsidR="00B716D1" w:rsidRPr="004940F9" w:rsidRDefault="00B716D1" w:rsidP="00B716D1">
      <w:pPr>
        <w:tabs>
          <w:tab w:val="left" w:pos="1980"/>
        </w:tabs>
        <w:jc w:val="both"/>
        <w:rPr>
          <w:szCs w:val="20"/>
          <w:lang w:eastAsia="cs-CZ"/>
        </w:rPr>
      </w:pPr>
      <w:r>
        <w:rPr>
          <w:szCs w:val="20"/>
          <w:lang w:eastAsia="cs-CZ"/>
        </w:rPr>
        <w:t>Komise životního prostředí Rady města Plzně podpořila projekt v plné výši</w:t>
      </w:r>
      <w:r>
        <w:t xml:space="preserve">. </w:t>
      </w:r>
      <w:r>
        <w:rPr>
          <w:szCs w:val="20"/>
          <w:lang w:eastAsia="cs-CZ"/>
        </w:rPr>
        <w:t>Rada města Plzně podpořila projekt ve stejné výši jako Komise životního prostředí Rady města Plzně</w:t>
      </w:r>
      <w:r>
        <w:t>.</w:t>
      </w:r>
    </w:p>
    <w:p w:rsidR="00E51E0C" w:rsidRDefault="00E51E0C" w:rsidP="00E51E0C">
      <w:pPr>
        <w:jc w:val="both"/>
        <w:rPr>
          <w:b/>
          <w:szCs w:val="20"/>
          <w:lang w:eastAsia="cs-CZ"/>
        </w:rPr>
      </w:pPr>
    </w:p>
    <w:p w:rsidR="00E51E0C" w:rsidRPr="00217F51" w:rsidRDefault="00E51E0C" w:rsidP="00E51E0C">
      <w:pPr>
        <w:jc w:val="both"/>
        <w:rPr>
          <w:b/>
        </w:rPr>
      </w:pPr>
      <w:r w:rsidRPr="00967EEA">
        <w:rPr>
          <w:b/>
          <w:szCs w:val="20"/>
          <w:lang w:eastAsia="cs-CZ"/>
        </w:rPr>
        <w:t xml:space="preserve">3. </w:t>
      </w:r>
      <w:r w:rsidRPr="00967EEA">
        <w:rPr>
          <w:b/>
        </w:rPr>
        <w:t>Předpokládaný cílový stav</w:t>
      </w:r>
    </w:p>
    <w:p w:rsidR="00E51E0C" w:rsidRDefault="00E51E0C" w:rsidP="00E51E0C">
      <w:pPr>
        <w:jc w:val="both"/>
        <w:rPr>
          <w:szCs w:val="20"/>
          <w:lang w:eastAsia="cs-CZ"/>
        </w:rPr>
      </w:pPr>
      <w:r>
        <w:t xml:space="preserve">Cílem je realizace projektu.  </w:t>
      </w:r>
    </w:p>
    <w:p w:rsidR="00E51E0C" w:rsidRDefault="00E51E0C" w:rsidP="00E51E0C">
      <w:pPr>
        <w:jc w:val="both"/>
      </w:pPr>
    </w:p>
    <w:p w:rsidR="00E51E0C" w:rsidRDefault="00E51E0C" w:rsidP="00E51E0C">
      <w:pPr>
        <w:jc w:val="both"/>
        <w:rPr>
          <w:b/>
          <w:szCs w:val="20"/>
          <w:lang w:eastAsia="cs-CZ"/>
        </w:rPr>
      </w:pPr>
      <w:r>
        <w:rPr>
          <w:b/>
        </w:rPr>
        <w:t>4. Navrhované varianty řešení</w:t>
      </w:r>
    </w:p>
    <w:p w:rsidR="00E51E0C" w:rsidRDefault="00E51E0C" w:rsidP="00E51E0C">
      <w:pPr>
        <w:jc w:val="both"/>
      </w:pPr>
      <w:r>
        <w:t xml:space="preserve">a) Poskytnout </w:t>
      </w:r>
      <w:r w:rsidR="002816BA">
        <w:t xml:space="preserve">Žadateli dotaci v plné  výši  </w:t>
      </w:r>
      <w:r w:rsidR="00B716D1">
        <w:t>102</w:t>
      </w:r>
      <w:r w:rsidR="002816BA">
        <w:t xml:space="preserve"> 0</w:t>
      </w:r>
      <w:r w:rsidR="008C650D">
        <w:t>00 Kč, jak doporučuje RMP</w:t>
      </w:r>
    </w:p>
    <w:p w:rsidR="00E51E0C" w:rsidRPr="00355844" w:rsidRDefault="00EA761A" w:rsidP="00E51E0C">
      <w:pPr>
        <w:jc w:val="both"/>
      </w:pPr>
      <w:r>
        <w:t>b) P</w:t>
      </w:r>
      <w:r w:rsidR="00E51E0C">
        <w:t>ožadovanou</w:t>
      </w:r>
      <w:r w:rsidR="00E51E0C" w:rsidRPr="008E2AF0">
        <w:t xml:space="preserve"> </w:t>
      </w:r>
      <w:r w:rsidR="006A5E0B">
        <w:t>dotaci Žadateli</w:t>
      </w:r>
      <w:r w:rsidR="00E51E0C">
        <w:t xml:space="preserve"> neposkytnout</w:t>
      </w:r>
    </w:p>
    <w:p w:rsidR="00E51E0C" w:rsidRDefault="00E51E0C" w:rsidP="00E51E0C">
      <w:pPr>
        <w:jc w:val="both"/>
        <w:rPr>
          <w:b/>
        </w:rPr>
      </w:pPr>
    </w:p>
    <w:p w:rsidR="00E51E0C" w:rsidRDefault="00E51E0C" w:rsidP="00E51E0C">
      <w:pPr>
        <w:jc w:val="both"/>
        <w:rPr>
          <w:b/>
          <w:szCs w:val="20"/>
          <w:lang w:eastAsia="cs-CZ"/>
        </w:rPr>
      </w:pPr>
      <w:r>
        <w:rPr>
          <w:b/>
        </w:rPr>
        <w:t>5. Doporučená varianta řešení</w:t>
      </w:r>
    </w:p>
    <w:p w:rsidR="00E51E0C" w:rsidRDefault="00E51E0C" w:rsidP="00E51E0C">
      <w:pPr>
        <w:jc w:val="both"/>
        <w:rPr>
          <w:szCs w:val="20"/>
          <w:lang w:eastAsia="cs-CZ"/>
        </w:rPr>
      </w:pPr>
      <w:r>
        <w:t xml:space="preserve">Dle bodu </w:t>
      </w:r>
      <w:smartTag w:uri="urn:schemas-microsoft-com:office:smarttags" w:element="metricconverter">
        <w:smartTagPr>
          <w:attr w:name="ProductID" w:val="4. a"/>
        </w:smartTagPr>
        <w:r>
          <w:t>4. a</w:t>
        </w:r>
      </w:smartTag>
      <w:r>
        <w:t>) důvodové zprávy.</w:t>
      </w:r>
    </w:p>
    <w:p w:rsidR="00E51E0C" w:rsidRDefault="00E51E0C" w:rsidP="00E51E0C">
      <w:pPr>
        <w:jc w:val="both"/>
        <w:rPr>
          <w:szCs w:val="20"/>
          <w:lang w:eastAsia="cs-CZ"/>
        </w:rPr>
      </w:pPr>
    </w:p>
    <w:p w:rsidR="00E51E0C" w:rsidRDefault="00E51E0C" w:rsidP="00E51E0C">
      <w:pPr>
        <w:jc w:val="both"/>
        <w:rPr>
          <w:b/>
          <w:szCs w:val="20"/>
          <w:lang w:eastAsia="cs-CZ"/>
        </w:rPr>
      </w:pPr>
      <w:r>
        <w:rPr>
          <w:b/>
        </w:rPr>
        <w:t>6. Finanční nároky řešení a možnosti finančního krytí (včetně všech následných  např. provozních nákladů)</w:t>
      </w:r>
    </w:p>
    <w:p w:rsidR="00CD4601" w:rsidRDefault="00CD4601" w:rsidP="00CD4601">
      <w:pPr>
        <w:rPr>
          <w:lang w:eastAsia="cs-CZ"/>
        </w:rPr>
      </w:pPr>
      <w:r>
        <w:rPr>
          <w:lang w:eastAsia="cs-CZ"/>
        </w:rPr>
        <w:t>Finanční prostředky budou kryty z FŽP MP.</w:t>
      </w:r>
    </w:p>
    <w:p w:rsidR="00E51E0C" w:rsidRDefault="00E51E0C" w:rsidP="00E51E0C">
      <w:pPr>
        <w:pStyle w:val="vlevo"/>
        <w:ind w:left="0" w:firstLine="0"/>
      </w:pPr>
    </w:p>
    <w:p w:rsidR="00E51E0C" w:rsidRDefault="00E51E0C" w:rsidP="00E51E0C">
      <w:pPr>
        <w:jc w:val="both"/>
        <w:rPr>
          <w:b/>
          <w:szCs w:val="20"/>
          <w:lang w:eastAsia="cs-CZ"/>
        </w:rPr>
      </w:pPr>
      <w:r>
        <w:rPr>
          <w:b/>
        </w:rPr>
        <w:t>7. Návrh termínů realizace a určení  zodpovědných  pracovníků</w:t>
      </w:r>
    </w:p>
    <w:p w:rsidR="00E51E0C" w:rsidRDefault="00E51E0C" w:rsidP="00E51E0C">
      <w:pPr>
        <w:jc w:val="both"/>
        <w:rPr>
          <w:szCs w:val="20"/>
          <w:lang w:eastAsia="cs-CZ"/>
        </w:rPr>
      </w:pPr>
      <w:r>
        <w:t>Dle ukládací části návrhu usnesení.</w:t>
      </w:r>
    </w:p>
    <w:p w:rsidR="00E51E0C" w:rsidRDefault="00E51E0C" w:rsidP="00E51E0C">
      <w:pPr>
        <w:jc w:val="both"/>
        <w:rPr>
          <w:b/>
        </w:rPr>
      </w:pPr>
    </w:p>
    <w:p w:rsidR="00E51E0C" w:rsidRDefault="00E51E0C" w:rsidP="00E51E0C">
      <w:pPr>
        <w:jc w:val="both"/>
        <w:rPr>
          <w:b/>
          <w:szCs w:val="20"/>
          <w:lang w:eastAsia="cs-CZ"/>
        </w:rPr>
      </w:pPr>
      <w:r>
        <w:rPr>
          <w:b/>
        </w:rPr>
        <w:t>8. Dříve vydaná usnesení orgánů  města nebo městských obvodů, která s tímto návrhem souvisí</w:t>
      </w:r>
    </w:p>
    <w:p w:rsidR="00E51E0C" w:rsidRDefault="00B37880" w:rsidP="00E51E0C">
      <w:pPr>
        <w:jc w:val="both"/>
      </w:pPr>
      <w:r>
        <w:t>Usnesení KŽP RMP č. 2</w:t>
      </w:r>
      <w:r w:rsidR="00B716D1">
        <w:t>6</w:t>
      </w:r>
      <w:r>
        <w:t xml:space="preserve"> ze dne 1</w:t>
      </w:r>
      <w:r w:rsidR="00B716D1">
        <w:t>1</w:t>
      </w:r>
      <w:r w:rsidR="00E51E0C">
        <w:t xml:space="preserve">. </w:t>
      </w:r>
      <w:r w:rsidR="00B716D1">
        <w:t>9</w:t>
      </w:r>
      <w:r w:rsidR="00E51E0C">
        <w:t>. 201</w:t>
      </w:r>
      <w:r w:rsidR="006A5E0B">
        <w:t>9</w:t>
      </w:r>
      <w:r w:rsidR="001D1FF1">
        <w:t>,</w:t>
      </w:r>
    </w:p>
    <w:p w:rsidR="00E51E0C" w:rsidRDefault="001D1FF1" w:rsidP="00E51E0C">
      <w:pPr>
        <w:jc w:val="both"/>
        <w:rPr>
          <w:szCs w:val="20"/>
          <w:lang w:eastAsia="cs-CZ"/>
        </w:rPr>
      </w:pPr>
      <w:r>
        <w:lastRenderedPageBreak/>
        <w:t>u</w:t>
      </w:r>
      <w:r w:rsidR="00066F40">
        <w:t>snesení RMP č. 1019</w:t>
      </w:r>
      <w:r w:rsidR="00B716D1">
        <w:t xml:space="preserve"> ze dne 7</w:t>
      </w:r>
      <w:r w:rsidR="00E51E0C">
        <w:t xml:space="preserve">. </w:t>
      </w:r>
      <w:r w:rsidR="00B716D1">
        <w:t>10</w:t>
      </w:r>
      <w:r w:rsidR="00E51E0C">
        <w:t>. 201</w:t>
      </w:r>
      <w:r w:rsidR="006A5E0B">
        <w:t>9</w:t>
      </w:r>
      <w:r>
        <w:t>.</w:t>
      </w:r>
      <w:r w:rsidR="00E51E0C">
        <w:t xml:space="preserve"> </w:t>
      </w:r>
    </w:p>
    <w:p w:rsidR="00E51E0C" w:rsidRDefault="00E51E0C" w:rsidP="00E51E0C">
      <w:pPr>
        <w:jc w:val="both"/>
        <w:rPr>
          <w:szCs w:val="20"/>
          <w:lang w:eastAsia="cs-CZ"/>
        </w:rPr>
      </w:pPr>
    </w:p>
    <w:p w:rsidR="00E51E0C" w:rsidRDefault="00E51E0C" w:rsidP="00E51E0C">
      <w:pPr>
        <w:jc w:val="both"/>
        <w:rPr>
          <w:b/>
        </w:rPr>
      </w:pPr>
      <w:r>
        <w:rPr>
          <w:b/>
        </w:rPr>
        <w:t>9. Závazky či pohledávky vůči městu Plzni</w:t>
      </w:r>
    </w:p>
    <w:p w:rsidR="00E51E0C" w:rsidRDefault="006A5E0B" w:rsidP="00E51E0C">
      <w:pPr>
        <w:tabs>
          <w:tab w:val="left" w:pos="3544"/>
        </w:tabs>
        <w:jc w:val="both"/>
      </w:pPr>
      <w:r>
        <w:t>Žadatel</w:t>
      </w:r>
      <w:r w:rsidR="00E51E0C">
        <w:t xml:space="preserve"> nemá žádné závazky ani pohledávky vůči městu Plzni.</w:t>
      </w:r>
    </w:p>
    <w:p w:rsidR="00E51E0C" w:rsidRDefault="00E51E0C" w:rsidP="00E51E0C">
      <w:pPr>
        <w:jc w:val="both"/>
        <w:rPr>
          <w:i/>
          <w:szCs w:val="20"/>
          <w:lang w:eastAsia="cs-CZ"/>
        </w:rPr>
      </w:pPr>
    </w:p>
    <w:p w:rsidR="00E51E0C" w:rsidRPr="002250FF" w:rsidRDefault="00E51E0C" w:rsidP="00E51E0C">
      <w:pPr>
        <w:jc w:val="both"/>
        <w:rPr>
          <w:b/>
        </w:rPr>
      </w:pPr>
      <w:r w:rsidRPr="002250FF">
        <w:rPr>
          <w:b/>
        </w:rPr>
        <w:t>10. Přílohy</w:t>
      </w:r>
    </w:p>
    <w:p w:rsidR="00E51E0C" w:rsidRDefault="002816BA" w:rsidP="00E51E0C">
      <w:pPr>
        <w:jc w:val="both"/>
      </w:pPr>
      <w:r>
        <w:t xml:space="preserve">Usnesení KŽP RMP č. </w:t>
      </w:r>
      <w:r w:rsidR="00B37880">
        <w:t>2</w:t>
      </w:r>
      <w:r w:rsidR="00B716D1">
        <w:t>6</w:t>
      </w:r>
      <w:r w:rsidR="00B37880">
        <w:t xml:space="preserve"> ze dne </w:t>
      </w:r>
      <w:r w:rsidR="00B716D1">
        <w:t>11</w:t>
      </w:r>
      <w:r w:rsidR="00E51E0C">
        <w:t xml:space="preserve">. </w:t>
      </w:r>
      <w:r w:rsidR="00B716D1">
        <w:t>9</w:t>
      </w:r>
      <w:r w:rsidR="006A5E0B">
        <w:t>. 2019</w:t>
      </w:r>
      <w:r w:rsidR="001D1FF1">
        <w:t>,</w:t>
      </w:r>
    </w:p>
    <w:p w:rsidR="00E51E0C" w:rsidRPr="00026387" w:rsidRDefault="001D1FF1" w:rsidP="00E51E0C">
      <w:pPr>
        <w:jc w:val="both"/>
        <w:rPr>
          <w:szCs w:val="20"/>
          <w:lang w:eastAsia="cs-CZ"/>
        </w:rPr>
      </w:pPr>
      <w:r>
        <w:t>u</w:t>
      </w:r>
      <w:r w:rsidR="00066F40">
        <w:t>snesení RMP č. 1019</w:t>
      </w:r>
      <w:r w:rsidR="00B716D1">
        <w:t xml:space="preserve"> ze dne 7</w:t>
      </w:r>
      <w:r w:rsidR="00E51E0C">
        <w:t xml:space="preserve">. </w:t>
      </w:r>
      <w:r w:rsidR="00B716D1">
        <w:t>10</w:t>
      </w:r>
      <w:r w:rsidR="00E51E0C">
        <w:t>. 201</w:t>
      </w:r>
      <w:r w:rsidR="006A5E0B">
        <w:t>9</w:t>
      </w:r>
      <w:r>
        <w:t>,</w:t>
      </w:r>
      <w:r w:rsidR="00E51E0C">
        <w:t xml:space="preserve"> </w:t>
      </w:r>
      <w:bookmarkStart w:id="0" w:name="_GoBack"/>
      <w:bookmarkEnd w:id="0"/>
    </w:p>
    <w:p w:rsidR="00E51E0C" w:rsidRPr="002250FF" w:rsidRDefault="001D1FF1" w:rsidP="00E51E0C">
      <w:pPr>
        <w:jc w:val="both"/>
      </w:pPr>
      <w:r>
        <w:t>f</w:t>
      </w:r>
      <w:r w:rsidR="00E51E0C">
        <w:t>ormulář žádosti o poskytnutí dotace z FŽP MP</w:t>
      </w:r>
      <w:r>
        <w:t>,</w:t>
      </w:r>
    </w:p>
    <w:p w:rsidR="00E51E0C" w:rsidRDefault="001D1FF1" w:rsidP="00E51E0C">
      <w:pPr>
        <w:pStyle w:val="vlevo"/>
      </w:pPr>
      <w:r>
        <w:t>t</w:t>
      </w:r>
      <w:r w:rsidR="00E51E0C">
        <w:t>abulka poskytnutých dotací</w:t>
      </w:r>
      <w:r>
        <w:t>.</w:t>
      </w:r>
      <w:r w:rsidR="00E51E0C">
        <w:t xml:space="preserve"> </w:t>
      </w:r>
    </w:p>
    <w:sectPr w:rsidR="00E51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0C"/>
    <w:rsid w:val="00066F40"/>
    <w:rsid w:val="00113C00"/>
    <w:rsid w:val="001D1FF1"/>
    <w:rsid w:val="002816BA"/>
    <w:rsid w:val="00327E06"/>
    <w:rsid w:val="00345B8F"/>
    <w:rsid w:val="003F2AD9"/>
    <w:rsid w:val="00414CAD"/>
    <w:rsid w:val="0041788C"/>
    <w:rsid w:val="006A5E0B"/>
    <w:rsid w:val="0071759A"/>
    <w:rsid w:val="008C650D"/>
    <w:rsid w:val="00A723C1"/>
    <w:rsid w:val="00B37880"/>
    <w:rsid w:val="00B716D1"/>
    <w:rsid w:val="00CD4601"/>
    <w:rsid w:val="00E51E0C"/>
    <w:rsid w:val="00EA761A"/>
    <w:rsid w:val="00EB045B"/>
    <w:rsid w:val="00EF70CB"/>
    <w:rsid w:val="00F848FD"/>
    <w:rsid w:val="00FD04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1E0C"/>
    <w:pPr>
      <w:spacing w:after="0" w:line="240" w:lineRule="auto"/>
    </w:pPr>
    <w:rPr>
      <w:rFonts w:ascii="Times New Roman" w:eastAsia="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E51E0C"/>
    <w:pPr>
      <w:snapToGrid w:val="0"/>
      <w:ind w:left="360"/>
      <w:jc w:val="both"/>
    </w:pPr>
    <w:rPr>
      <w:noProof w:val="0"/>
      <w:szCs w:val="20"/>
      <w:lang w:eastAsia="cs-CZ"/>
    </w:rPr>
  </w:style>
  <w:style w:type="character" w:customStyle="1" w:styleId="ZkladntextodsazenChar">
    <w:name w:val="Základní text odsazený Char"/>
    <w:basedOn w:val="Standardnpsmoodstavce"/>
    <w:link w:val="Zkladntextodsazen"/>
    <w:rsid w:val="00E51E0C"/>
    <w:rPr>
      <w:rFonts w:ascii="Times New Roman" w:eastAsia="Times New Roman" w:hAnsi="Times New Roman" w:cs="Times New Roman"/>
      <w:sz w:val="24"/>
      <w:szCs w:val="20"/>
      <w:lang w:eastAsia="cs-CZ"/>
    </w:rPr>
  </w:style>
  <w:style w:type="paragraph" w:customStyle="1" w:styleId="vlevo">
    <w:name w:val="vlevo"/>
    <w:basedOn w:val="Normln"/>
    <w:autoRedefine/>
    <w:rsid w:val="00E51E0C"/>
    <w:pPr>
      <w:ind w:left="-15" w:firstLine="15"/>
      <w:jc w:val="both"/>
    </w:pPr>
    <w:rPr>
      <w:noProof w:val="0"/>
      <w:szCs w:val="20"/>
      <w:lang w:eastAsia="cs-CZ"/>
    </w:rPr>
  </w:style>
  <w:style w:type="paragraph" w:customStyle="1" w:styleId="nadpcent">
    <w:name w:val="nadpcent"/>
    <w:basedOn w:val="Normln"/>
    <w:next w:val="vlevo"/>
    <w:autoRedefine/>
    <w:rsid w:val="00E51E0C"/>
    <w:pPr>
      <w:spacing w:before="600" w:after="480"/>
      <w:jc w:val="center"/>
    </w:pPr>
    <w:rPr>
      <w:b/>
      <w:caps/>
      <w:noProof w:val="0"/>
      <w:spacing w:val="22"/>
      <w:szCs w:val="20"/>
      <w:lang w:val="en-AU" w:eastAsia="cs-CZ"/>
    </w:rPr>
  </w:style>
  <w:style w:type="character" w:styleId="Hypertextovodkaz">
    <w:name w:val="Hyperlink"/>
    <w:basedOn w:val="Standardnpsmoodstavce"/>
    <w:uiPriority w:val="99"/>
    <w:unhideWhenUsed/>
    <w:rsid w:val="00B71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1E0C"/>
    <w:pPr>
      <w:spacing w:after="0" w:line="240" w:lineRule="auto"/>
    </w:pPr>
    <w:rPr>
      <w:rFonts w:ascii="Times New Roman" w:eastAsia="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E51E0C"/>
    <w:pPr>
      <w:snapToGrid w:val="0"/>
      <w:ind w:left="360"/>
      <w:jc w:val="both"/>
    </w:pPr>
    <w:rPr>
      <w:noProof w:val="0"/>
      <w:szCs w:val="20"/>
      <w:lang w:eastAsia="cs-CZ"/>
    </w:rPr>
  </w:style>
  <w:style w:type="character" w:customStyle="1" w:styleId="ZkladntextodsazenChar">
    <w:name w:val="Základní text odsazený Char"/>
    <w:basedOn w:val="Standardnpsmoodstavce"/>
    <w:link w:val="Zkladntextodsazen"/>
    <w:rsid w:val="00E51E0C"/>
    <w:rPr>
      <w:rFonts w:ascii="Times New Roman" w:eastAsia="Times New Roman" w:hAnsi="Times New Roman" w:cs="Times New Roman"/>
      <w:sz w:val="24"/>
      <w:szCs w:val="20"/>
      <w:lang w:eastAsia="cs-CZ"/>
    </w:rPr>
  </w:style>
  <w:style w:type="paragraph" w:customStyle="1" w:styleId="vlevo">
    <w:name w:val="vlevo"/>
    <w:basedOn w:val="Normln"/>
    <w:autoRedefine/>
    <w:rsid w:val="00E51E0C"/>
    <w:pPr>
      <w:ind w:left="-15" w:firstLine="15"/>
      <w:jc w:val="both"/>
    </w:pPr>
    <w:rPr>
      <w:noProof w:val="0"/>
      <w:szCs w:val="20"/>
      <w:lang w:eastAsia="cs-CZ"/>
    </w:rPr>
  </w:style>
  <w:style w:type="paragraph" w:customStyle="1" w:styleId="nadpcent">
    <w:name w:val="nadpcent"/>
    <w:basedOn w:val="Normln"/>
    <w:next w:val="vlevo"/>
    <w:autoRedefine/>
    <w:rsid w:val="00E51E0C"/>
    <w:pPr>
      <w:spacing w:before="600" w:after="480"/>
      <w:jc w:val="center"/>
    </w:pPr>
    <w:rPr>
      <w:b/>
      <w:caps/>
      <w:noProof w:val="0"/>
      <w:spacing w:val="22"/>
      <w:szCs w:val="20"/>
      <w:lang w:val="en-AU" w:eastAsia="cs-CZ"/>
    </w:rPr>
  </w:style>
  <w:style w:type="character" w:styleId="Hypertextovodkaz">
    <w:name w:val="Hyperlink"/>
    <w:basedOn w:val="Standardnpsmoodstavce"/>
    <w:uiPriority w:val="99"/>
    <w:unhideWhenUsed/>
    <w:rsid w:val="00B71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0604">
      <w:bodyDiv w:val="1"/>
      <w:marLeft w:val="0"/>
      <w:marRight w:val="0"/>
      <w:marTop w:val="0"/>
      <w:marBottom w:val="0"/>
      <w:divBdr>
        <w:top w:val="none" w:sz="0" w:space="0" w:color="auto"/>
        <w:left w:val="none" w:sz="0" w:space="0" w:color="auto"/>
        <w:bottom w:val="none" w:sz="0" w:space="0" w:color="auto"/>
        <w:right w:val="none" w:sz="0" w:space="0" w:color="auto"/>
      </w:divBdr>
    </w:div>
    <w:div w:id="7285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vyhazujto.cz" TargetMode="External"/><Relationship Id="rId5" Type="http://schemas.openxmlformats.org/officeDocument/2006/relationships/hyperlink" Target="http://www.plzen.nevyhazujt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2370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Franková Monika</dc:creator>
  <cp:lastModifiedBy>Franková Monika</cp:lastModifiedBy>
  <cp:revision>5</cp:revision>
  <cp:lastPrinted>2019-04-09T09:09:00Z</cp:lastPrinted>
  <dcterms:created xsi:type="dcterms:W3CDTF">2019-10-04T10:23:00Z</dcterms:created>
  <dcterms:modified xsi:type="dcterms:W3CDTF">2019-10-08T07:20:00Z</dcterms:modified>
</cp:coreProperties>
</file>