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C2" w:rsidRDefault="00B235C2" w:rsidP="00B235C2"/>
    <w:p w:rsidR="00B235C2" w:rsidRDefault="00B235C2" w:rsidP="00B235C2">
      <w:pPr>
        <w:pStyle w:val="Nadpis3"/>
      </w:pPr>
      <w:r>
        <w:t>Důvodová zpráva</w:t>
      </w:r>
    </w:p>
    <w:p w:rsidR="00B235C2" w:rsidRDefault="00B235C2" w:rsidP="00B235C2">
      <w:pPr>
        <w:pStyle w:val="vlevo"/>
      </w:pPr>
    </w:p>
    <w:p w:rsidR="00B235C2" w:rsidRDefault="00B235C2" w:rsidP="00B235C2">
      <w:pPr>
        <w:pStyle w:val="ostzahl"/>
        <w:tabs>
          <w:tab w:val="clear" w:pos="1070"/>
          <w:tab w:val="left" w:pos="708"/>
        </w:tabs>
        <w:ind w:left="426"/>
      </w:pPr>
      <w:r>
        <w:t>Název problému a jeho charakteristika</w:t>
      </w:r>
    </w:p>
    <w:p w:rsidR="00B235C2" w:rsidRPr="0040525F" w:rsidRDefault="00B235C2" w:rsidP="00B235C2">
      <w:pPr>
        <w:pStyle w:val="vlevo"/>
      </w:pPr>
      <w:r w:rsidRPr="0040525F">
        <w:t>Směna pozemků vč. staveb garáží pro stavbu Průtah silnice I/20 úsek Jasmínová – Jateční (v závazné části územního plánu města Plzně jsou zde vedeny veřejně prospěšné stavby S-7 „Městský okruh, úsek Na Růžku – Na Roudné, průjezdní úsek silnice I/20“ a S-6 „Velenická, úsek Koterovská - Na Růžku, průjezdní úsek silnice I/20“) – manželé Zikmundovi.</w:t>
      </w:r>
    </w:p>
    <w:p w:rsidR="00B235C2" w:rsidRDefault="00B235C2" w:rsidP="00B235C2">
      <w:pPr>
        <w:pStyle w:val="ostzahl"/>
        <w:tabs>
          <w:tab w:val="clear" w:pos="1070"/>
          <w:tab w:val="left" w:pos="708"/>
        </w:tabs>
        <w:ind w:left="426"/>
      </w:pPr>
      <w:r>
        <w:t>Konstatování současného stavu a jeho analýza</w:t>
      </w:r>
    </w:p>
    <w:p w:rsidR="00B235C2" w:rsidRDefault="00B235C2" w:rsidP="00B235C2">
      <w:pPr>
        <w:pStyle w:val="vlevo"/>
        <w:spacing w:after="120"/>
      </w:pPr>
      <w:r>
        <w:t>Zastupitelstvo města Plzně v souvislosti se stavbou Průtah silnice I/20 úsek Jasmínová – Jateční přijalo dne 21. 6. 2018 usnesení č. 339, kterým schválilo postup a nabídkovou smluvní kupní cenu pro výkupy jednotlivých pozemků dle seznamu ve výši 18 500 Kč za m</w:t>
      </w:r>
      <w:r>
        <w:rPr>
          <w:vertAlign w:val="superscript"/>
        </w:rPr>
        <w:t>2</w:t>
      </w:r>
      <w:r>
        <w:t xml:space="preserve"> plochy pozemku, jehož součástí je stavba garáže (patrové garáže).</w:t>
      </w:r>
    </w:p>
    <w:p w:rsidR="00B235C2" w:rsidRDefault="00B235C2" w:rsidP="00B235C2">
      <w:pPr>
        <w:pStyle w:val="vlevo"/>
        <w:spacing w:after="120"/>
      </w:pPr>
      <w:r>
        <w:t xml:space="preserve">Na základě přijatého usnesení bylo vykoupeno pro předmětnou VPS 9 pozemků s dvougarážemi (zbývá jich vykoupit 8). Celkově bylo pro danou VPS již vykoupeno nebo směněno do vlastnictví města Plzně 87 garáží. </w:t>
      </w:r>
    </w:p>
    <w:p w:rsidR="00B235C2" w:rsidRDefault="00B235C2" w:rsidP="00B235C2">
      <w:pPr>
        <w:pStyle w:val="vlevo"/>
        <w:spacing w:after="120"/>
      </w:pPr>
      <w:r>
        <w:t xml:space="preserve">Směnu dotčených pozemků požadují manželé Zikmundovi, kteří mají ve společném vlastnictví manželů podíl ve výši 1/2 k celku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3639/18 o výměře 20 m</w:t>
      </w:r>
      <w:r>
        <w:rPr>
          <w:vertAlign w:val="superscript"/>
        </w:rPr>
        <w:t>2</w:t>
      </w:r>
      <w:r>
        <w:t xml:space="preserve"> </w:t>
      </w:r>
      <w:r>
        <w:br/>
        <w:t>a 3639/23 o výměře 20 m</w:t>
      </w:r>
      <w:r>
        <w:rPr>
          <w:vertAlign w:val="superscript"/>
        </w:rPr>
        <w:t>2</w:t>
      </w:r>
      <w:r>
        <w:t xml:space="preserve">, oba k. </w:t>
      </w:r>
      <w:proofErr w:type="spellStart"/>
      <w:r>
        <w:t>ú.</w:t>
      </w:r>
      <w:proofErr w:type="spellEnd"/>
      <w:r>
        <w:t xml:space="preserve"> Plzeň (patrové garáže). Pro směnu požadují městské pozemky v ul. Spojovací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3127/7 o výměře 15 m</w:t>
      </w:r>
      <w:r>
        <w:rPr>
          <w:vertAlign w:val="superscript"/>
        </w:rPr>
        <w:t>2</w:t>
      </w:r>
      <w:r>
        <w:t xml:space="preserve"> a 3127/17 o výměře 15 m</w:t>
      </w:r>
      <w:r>
        <w:rPr>
          <w:vertAlign w:val="superscript"/>
        </w:rPr>
        <w:t>2</w:t>
      </w:r>
      <w:r>
        <w:t xml:space="preserve"> vč. staveb garáží v k. </w:t>
      </w:r>
      <w:proofErr w:type="spellStart"/>
      <w:r>
        <w:t>ú.</w:t>
      </w:r>
      <w:proofErr w:type="spellEnd"/>
      <w:r>
        <w:t xml:space="preserve"> Plzeň - garáže mají malou šířku vjezdu, takže do nich standardně nezajede ani menší osobní automobil.</w:t>
      </w:r>
    </w:p>
    <w:p w:rsidR="00B235C2" w:rsidRDefault="00B235C2" w:rsidP="00B235C2">
      <w:pPr>
        <w:pStyle w:val="vlevo"/>
        <w:spacing w:after="120"/>
      </w:pPr>
      <w:r>
        <w:t xml:space="preserve">K 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3639/23 se váže zákonné předkupní právo dalšího spoluvlastníka.</w:t>
      </w:r>
    </w:p>
    <w:p w:rsidR="00B235C2" w:rsidRDefault="00B235C2" w:rsidP="00B235C2">
      <w:pPr>
        <w:pStyle w:val="vlevo"/>
        <w:spacing w:after="120"/>
      </w:pPr>
      <w:r>
        <w:t xml:space="preserve">Garáže v ul. Spojovací 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3127/7 a 3127/17 jsou v současné době obsazeny nájemci, kteří požádali o ukončení nájmu dohodou ke dni 30. 11. 2019. RMP dne </w:t>
      </w:r>
      <w:r>
        <w:br/>
        <w:t>4. 11. 2019 schválila ukončení nájmu dohodou.</w:t>
      </w:r>
    </w:p>
    <w:p w:rsidR="00B235C2" w:rsidRDefault="00B235C2" w:rsidP="00B235C2">
      <w:pPr>
        <w:pStyle w:val="vlevo"/>
        <w:spacing w:after="120"/>
      </w:pPr>
      <w:r>
        <w:t>Směnná smlouva bude uzavřena po uvolnění těchto garáží.</w:t>
      </w:r>
    </w:p>
    <w:p w:rsidR="00B235C2" w:rsidRDefault="00B235C2" w:rsidP="00B235C2">
      <w:pPr>
        <w:pStyle w:val="vlevo"/>
        <w:spacing w:after="120"/>
      </w:pPr>
      <w:r>
        <w:t xml:space="preserve">ORP ve svém stanovisku č. j. MMP/245434/19 ze dne 6. 6. 2019 souhlasí se získáním spoluvlastnického podílu 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3639/18, 3639/23 v k. </w:t>
      </w:r>
      <w:proofErr w:type="spellStart"/>
      <w:r>
        <w:t>ú.</w:t>
      </w:r>
      <w:proofErr w:type="spellEnd"/>
      <w:r>
        <w:t xml:space="preserve"> Plzeň (FO), které budou dotčeny VPS za 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3127/7 a 3127/17 v k. </w:t>
      </w:r>
      <w:proofErr w:type="spellStart"/>
      <w:r>
        <w:t>ú.</w:t>
      </w:r>
      <w:proofErr w:type="spellEnd"/>
      <w:r>
        <w:t xml:space="preserve"> Plzeň (MP) a se svěřením získaných nemovitých věcí do správy SVSMP (příloha č. 1).</w:t>
      </w:r>
    </w:p>
    <w:p w:rsidR="00B235C2" w:rsidRDefault="00B235C2" w:rsidP="00B235C2">
      <w:pPr>
        <w:pStyle w:val="vlevo"/>
        <w:spacing w:after="120"/>
      </w:pPr>
      <w:r>
        <w:t>RMO Plzeň 2 přijala usnesení č. 144/2019, kterým souhlasí se směnou nemovitých věcí.</w:t>
      </w:r>
    </w:p>
    <w:p w:rsidR="00B235C2" w:rsidRDefault="00B235C2" w:rsidP="00B235C2">
      <w:pPr>
        <w:pStyle w:val="vlevo"/>
        <w:spacing w:after="120"/>
        <w:rPr>
          <w:szCs w:val="24"/>
        </w:rPr>
      </w:pPr>
      <w:r>
        <w:t xml:space="preserve">V souladu s přijatým usnesením ZMP č. 339/2019  činí cena sjednaná pozemků </w:t>
      </w:r>
      <w:proofErr w:type="spellStart"/>
      <w:r>
        <w:t>parc</w:t>
      </w:r>
      <w:proofErr w:type="spellEnd"/>
      <w:r>
        <w:rPr>
          <w:szCs w:val="24"/>
        </w:rPr>
        <w:t xml:space="preserve">. </w:t>
      </w:r>
      <w:r>
        <w:rPr>
          <w:szCs w:val="24"/>
        </w:rPr>
        <w:br/>
        <w:t xml:space="preserve">č. 3639/18 a 3639/23 vč. patrových staveb garáží </w:t>
      </w:r>
      <w:r>
        <w:t xml:space="preserve">v k. </w:t>
      </w:r>
      <w:proofErr w:type="spellStart"/>
      <w:r>
        <w:t>ú.</w:t>
      </w:r>
      <w:proofErr w:type="spellEnd"/>
      <w:r>
        <w:t xml:space="preserve"> Plzeň c</w:t>
      </w:r>
      <w:r>
        <w:rPr>
          <w:szCs w:val="24"/>
        </w:rPr>
        <w:t>elkem 740 000 Kč (18 500 Kč/m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x 40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= 740 000 Kč). Předmětem směny </w:t>
      </w:r>
      <w:proofErr w:type="gramStart"/>
      <w:r>
        <w:rPr>
          <w:szCs w:val="24"/>
        </w:rPr>
        <w:t>jsou</w:t>
      </w:r>
      <w:proofErr w:type="gramEnd"/>
      <w:r>
        <w:rPr>
          <w:szCs w:val="24"/>
        </w:rPr>
        <w:t xml:space="preserve"> podíly </w:t>
      </w:r>
      <w:proofErr w:type="gramStart"/>
      <w:r>
        <w:rPr>
          <w:szCs w:val="24"/>
        </w:rPr>
        <w:t>vel</w:t>
      </w:r>
      <w:proofErr w:type="gramEnd"/>
      <w:r>
        <w:rPr>
          <w:szCs w:val="24"/>
        </w:rPr>
        <w:t xml:space="preserve">. 1/2 k celku těchto pozemků, tzn., že cena za tyto podíly činí 370 000 Kč. </w:t>
      </w:r>
    </w:p>
    <w:p w:rsidR="00B235C2" w:rsidRDefault="00B235C2" w:rsidP="00B235C2">
      <w:pPr>
        <w:pStyle w:val="vlevo"/>
        <w:spacing w:after="120"/>
      </w:pPr>
      <w:r>
        <w:t>Podobné pozemky s malometrážními garážemi v ul. Spojovací byly pro stavbu I/20 směňovány s vlastníky dotčených pozemků v loňském roce, a to za cenu obvyklou 9 250 Kč/m</w:t>
      </w:r>
      <w:r>
        <w:rPr>
          <w:vertAlign w:val="superscript"/>
        </w:rPr>
        <w:t>2</w:t>
      </w:r>
      <w:r>
        <w:t xml:space="preserve"> (dle znaleckého posudku vypracovaného znalcem Vladislavem </w:t>
      </w:r>
      <w:proofErr w:type="spellStart"/>
      <w:r>
        <w:t>Titlem</w:t>
      </w:r>
      <w:proofErr w:type="spellEnd"/>
      <w:r>
        <w:t xml:space="preserve">). Cena sjednaná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3127/7 a 3127/17 vč. staveb garáží v k. </w:t>
      </w:r>
      <w:proofErr w:type="spellStart"/>
      <w:r>
        <w:t>ú.</w:t>
      </w:r>
      <w:proofErr w:type="spellEnd"/>
      <w:r>
        <w:t xml:space="preserve"> Plzeň vychází z této ceny</w:t>
      </w:r>
      <w:r>
        <w:rPr>
          <w:vertAlign w:val="superscript"/>
        </w:rPr>
        <w:t xml:space="preserve"> </w:t>
      </w:r>
      <w:r>
        <w:t>a činí celkem 277 500 Kč.</w:t>
      </w:r>
    </w:p>
    <w:p w:rsidR="00B235C2" w:rsidRDefault="00B235C2" w:rsidP="00B235C2">
      <w:pPr>
        <w:pStyle w:val="vlevo"/>
        <w:spacing w:after="120"/>
        <w:rPr>
          <w:szCs w:val="24"/>
        </w:rPr>
      </w:pPr>
      <w:r>
        <w:t xml:space="preserve">Finanční vyrovnání bude ve výši rozdílu sjednaných cen, tj. s doplatkem ve výši 92 500 Kč, který uhradí město Plzeň manželům Zikmundovým do </w:t>
      </w:r>
      <w:r>
        <w:rPr>
          <w:szCs w:val="24"/>
        </w:rPr>
        <w:t xml:space="preserve">30 dnů ode dne, kdy mu bude </w:t>
      </w:r>
      <w:r>
        <w:rPr>
          <w:szCs w:val="24"/>
        </w:rPr>
        <w:lastRenderedPageBreak/>
        <w:t>doručeno vyrozumění katastrálního úřadu o provedení vkladu vlastnického práva do katastru nemovitostí.</w:t>
      </w:r>
    </w:p>
    <w:p w:rsidR="00B235C2" w:rsidRDefault="00B235C2" w:rsidP="00B235C2">
      <w:pPr>
        <w:pStyle w:val="vlevo"/>
        <w:spacing w:after="120"/>
      </w:pPr>
      <w:r>
        <w:t xml:space="preserve">Majetkový převod nemovitých věcí bude osvobozen od DPH ve smyslu § 56 zákona </w:t>
      </w:r>
      <w:r>
        <w:br/>
        <w:t>č. 235/2004 Sb., ve znění pozdějších předpisů.</w:t>
      </w:r>
    </w:p>
    <w:p w:rsidR="00B235C2" w:rsidRDefault="00B235C2" w:rsidP="00B235C2">
      <w:pPr>
        <w:pStyle w:val="vlevo"/>
        <w:spacing w:after="120"/>
      </w:pPr>
      <w:r>
        <w:t>Přesná specifikace rozsahu směny je uvedena v bodu II. Schvaluje návrhu usnesení.</w:t>
      </w:r>
    </w:p>
    <w:p w:rsidR="00B235C2" w:rsidRDefault="00B235C2" w:rsidP="00B235C2">
      <w:pPr>
        <w:pStyle w:val="vlevo"/>
        <w:spacing w:after="120"/>
      </w:pPr>
      <w:r>
        <w:t>KNM 3. 10. 2019 doporučila RMP schválit výpovědi z nájmu a souhlasit se směnou pozemků.</w:t>
      </w:r>
    </w:p>
    <w:p w:rsidR="00B235C2" w:rsidRDefault="00B235C2" w:rsidP="00B235C2">
      <w:pPr>
        <w:pStyle w:val="vlevo"/>
        <w:spacing w:after="120"/>
      </w:pPr>
      <w:r w:rsidRPr="00C87DC3">
        <w:t xml:space="preserve">RMP dne 4. 11. 2019 přijala usnesení č. </w:t>
      </w:r>
      <w:r w:rsidR="00C87DC3" w:rsidRPr="00C87DC3">
        <w:t>1099</w:t>
      </w:r>
      <w:r w:rsidRPr="00C87DC3">
        <w:t xml:space="preserve">, kterým schválila ukončení nájmu dohodou </w:t>
      </w:r>
      <w:r w:rsidRPr="00C87DC3">
        <w:br/>
        <w:t>a souhlasí s uzavřením směnné smlouvy.</w:t>
      </w:r>
    </w:p>
    <w:p w:rsidR="00B235C2" w:rsidRDefault="00B235C2" w:rsidP="00B235C2">
      <w:pPr>
        <w:pStyle w:val="ostzahl"/>
        <w:ind w:left="426"/>
      </w:pPr>
      <w:r>
        <w:t>Předpokládaný cílový stav</w:t>
      </w:r>
    </w:p>
    <w:p w:rsidR="00B235C2" w:rsidRDefault="00B235C2" w:rsidP="00B235C2">
      <w:pPr>
        <w:pStyle w:val="vlevo"/>
      </w:pPr>
      <w:r>
        <w:t>Majetkoprávní vypořádání pro připravovanou investiční výstavbu.</w:t>
      </w:r>
    </w:p>
    <w:p w:rsidR="00B235C2" w:rsidRDefault="00B235C2" w:rsidP="00B235C2">
      <w:pPr>
        <w:pStyle w:val="ostzahl"/>
        <w:ind w:left="426"/>
      </w:pPr>
      <w:r>
        <w:t>Navrhované varianty řešení</w:t>
      </w:r>
    </w:p>
    <w:p w:rsidR="00B235C2" w:rsidRDefault="00B235C2" w:rsidP="00B235C2">
      <w:pPr>
        <w:pStyle w:val="ostzahl"/>
        <w:numPr>
          <w:ilvl w:val="0"/>
          <w:numId w:val="0"/>
        </w:numPr>
        <w:tabs>
          <w:tab w:val="left" w:pos="708"/>
        </w:tabs>
        <w:jc w:val="both"/>
        <w:rPr>
          <w:b w:val="0"/>
          <w:spacing w:val="0"/>
        </w:rPr>
      </w:pPr>
      <w:r>
        <w:rPr>
          <w:b w:val="0"/>
          <w:spacing w:val="0"/>
        </w:rPr>
        <w:t>Viz návrh usnesení.</w:t>
      </w:r>
    </w:p>
    <w:p w:rsidR="00B235C2" w:rsidRDefault="00B235C2" w:rsidP="00B235C2">
      <w:pPr>
        <w:pStyle w:val="ostzahl"/>
        <w:ind w:left="426"/>
      </w:pPr>
      <w:r>
        <w:t>Doporučená varianta řešení</w:t>
      </w:r>
    </w:p>
    <w:p w:rsidR="00B235C2" w:rsidRDefault="00B235C2" w:rsidP="00B235C2">
      <w:pPr>
        <w:pStyle w:val="Odstavecseseznamem"/>
        <w:spacing w:after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B235C2" w:rsidRDefault="00B235C2" w:rsidP="00B235C2">
      <w:pPr>
        <w:pStyle w:val="ostzahl"/>
        <w:ind w:left="426"/>
      </w:pPr>
      <w:r>
        <w:t>Finanční nároky řešení a možnosti finančního krytí</w:t>
      </w:r>
    </w:p>
    <w:p w:rsidR="00B235C2" w:rsidRDefault="00B235C2" w:rsidP="00B235C2">
      <w:pPr>
        <w:pStyle w:val="vlevo"/>
      </w:pPr>
      <w:r>
        <w:t>Doplatek ze směny ve výši 92 500 Kč. Zdrojem finančního krytí bude rozpočet Odboru nabývání majetku MMP.</w:t>
      </w:r>
    </w:p>
    <w:p w:rsidR="00B235C2" w:rsidRDefault="00B235C2" w:rsidP="00B235C2">
      <w:pPr>
        <w:pStyle w:val="vlevo"/>
      </w:pPr>
      <w:r>
        <w:t xml:space="preserve">Daň z nabytí nemovitých věcí bude uhrazena dle zákonného opatření Senátu č. 340/2013 Sb., </w:t>
      </w:r>
      <w:r>
        <w:br/>
        <w:t>o dani z nabytí nemovitých věcí, v platném znění.</w:t>
      </w:r>
    </w:p>
    <w:p w:rsidR="00B235C2" w:rsidRDefault="00B235C2" w:rsidP="00B235C2">
      <w:pPr>
        <w:pStyle w:val="ostzahl"/>
        <w:ind w:left="426"/>
      </w:pPr>
      <w:r>
        <w:t>Návrh termínů realizace a určení zodpovědných pracovníků</w:t>
      </w:r>
    </w:p>
    <w:p w:rsidR="00B235C2" w:rsidRDefault="00B235C2" w:rsidP="00B235C2">
      <w:pPr>
        <w:pStyle w:val="vlevo"/>
      </w:pPr>
      <w:r>
        <w:t>Viz návrh usnesení.</w:t>
      </w:r>
    </w:p>
    <w:p w:rsidR="00B235C2" w:rsidRDefault="00B235C2" w:rsidP="00B235C2">
      <w:pPr>
        <w:pStyle w:val="ostzahl"/>
        <w:ind w:left="426"/>
      </w:pPr>
      <w:r>
        <w:t>Dříve přijatá usnesení orgánů města nebo městských obvodů, která s tímto návrhem souvisejí</w:t>
      </w:r>
      <w:bookmarkStart w:id="0" w:name="_GoBack"/>
      <w:bookmarkEnd w:id="0"/>
    </w:p>
    <w:p w:rsidR="00B235C2" w:rsidRDefault="00B235C2" w:rsidP="00B235C2">
      <w:pPr>
        <w:pStyle w:val="vlevo"/>
      </w:pPr>
      <w:r>
        <w:t>RMP č. 666 z 27. 6. 2002</w:t>
      </w:r>
    </w:p>
    <w:p w:rsidR="00B235C2" w:rsidRDefault="00066C0D" w:rsidP="00B235C2">
      <w:pPr>
        <w:pStyle w:val="vlevo"/>
      </w:pPr>
      <w:hyperlink r:id="rId8" w:history="1">
        <w:r w:rsidR="00B235C2">
          <w:rPr>
            <w:rStyle w:val="Hypertextovodkaz"/>
          </w:rPr>
          <w:t>https://usneseni.plzen.eu/bin_Soubor.php?id=25545</w:t>
        </w:r>
      </w:hyperlink>
    </w:p>
    <w:p w:rsidR="00B235C2" w:rsidRDefault="00B235C2" w:rsidP="00B235C2">
      <w:pPr>
        <w:pStyle w:val="vlevo"/>
      </w:pPr>
      <w:r>
        <w:t>ZMP č. 339 ze dne 21. 6. 2018</w:t>
      </w:r>
    </w:p>
    <w:p w:rsidR="00B235C2" w:rsidRDefault="00066C0D" w:rsidP="00B235C2">
      <w:pPr>
        <w:pStyle w:val="vlevo"/>
      </w:pPr>
      <w:hyperlink r:id="rId9" w:history="1">
        <w:r w:rsidR="00B235C2">
          <w:rPr>
            <w:rStyle w:val="Hypertextovodkaz"/>
          </w:rPr>
          <w:t>https://usneseni.plzen.eu/bin_Soubor.php?id=93004</w:t>
        </w:r>
      </w:hyperlink>
    </w:p>
    <w:p w:rsidR="00B235C2" w:rsidRDefault="00B235C2" w:rsidP="00B235C2">
      <w:pPr>
        <w:pStyle w:val="vlevo"/>
      </w:pPr>
      <w:r>
        <w:t>RMO Plzeň 2 č. 38/1999</w:t>
      </w:r>
    </w:p>
    <w:p w:rsidR="00B235C2" w:rsidRDefault="00066C0D" w:rsidP="00B235C2">
      <w:pPr>
        <w:pStyle w:val="vlevo"/>
        <w:rPr>
          <w:rStyle w:val="Hypertextovodkaz"/>
        </w:rPr>
      </w:pPr>
      <w:hyperlink r:id="rId10" w:history="1">
        <w:r w:rsidR="00B235C2">
          <w:rPr>
            <w:rStyle w:val="Hypertextovodkaz"/>
          </w:rPr>
          <w:t>https://usneseni.plzen.eu/bin_Soubor.php?id=48204</w:t>
        </w:r>
      </w:hyperlink>
    </w:p>
    <w:p w:rsidR="00B235C2" w:rsidRDefault="00B235C2" w:rsidP="00B235C2">
      <w:pPr>
        <w:pStyle w:val="vlevo"/>
      </w:pPr>
      <w:r>
        <w:t>RMO Plzeň 2 č. 100/2012</w:t>
      </w:r>
    </w:p>
    <w:p w:rsidR="00B235C2" w:rsidRDefault="00066C0D" w:rsidP="00B235C2">
      <w:pPr>
        <w:pStyle w:val="vlevo"/>
      </w:pPr>
      <w:hyperlink r:id="rId11" w:history="1">
        <w:r w:rsidR="00B235C2">
          <w:rPr>
            <w:rStyle w:val="Hypertextovodkaz"/>
          </w:rPr>
          <w:t>https://usneseni.plzen.eu/bin_Soubor.php?id=67313</w:t>
        </w:r>
      </w:hyperlink>
    </w:p>
    <w:p w:rsidR="00B235C2" w:rsidRDefault="00B235C2" w:rsidP="00B235C2">
      <w:pPr>
        <w:pStyle w:val="vlevo"/>
      </w:pPr>
      <w:r>
        <w:t>RMO Plzeň 2 č. 144/2019</w:t>
      </w:r>
    </w:p>
    <w:p w:rsidR="00B235C2" w:rsidRDefault="00066C0D" w:rsidP="00B235C2">
      <w:pPr>
        <w:pStyle w:val="vlevo"/>
      </w:pPr>
      <w:hyperlink r:id="rId12" w:history="1">
        <w:r w:rsidR="00B235C2">
          <w:rPr>
            <w:rStyle w:val="Hypertextovodkaz"/>
          </w:rPr>
          <w:t>https://usneseni.plzen.eu/bin_Soubor.php?id=97921</w:t>
        </w:r>
      </w:hyperlink>
    </w:p>
    <w:p w:rsidR="00B235C2" w:rsidRDefault="00B235C2" w:rsidP="00B235C2">
      <w:pPr>
        <w:pStyle w:val="vlevo"/>
      </w:pPr>
      <w:r w:rsidRPr="00066C0D">
        <w:t xml:space="preserve">RMP č.  </w:t>
      </w:r>
      <w:proofErr w:type="gramStart"/>
      <w:r w:rsidR="00C87DC3" w:rsidRPr="00066C0D">
        <w:t xml:space="preserve">1099 </w:t>
      </w:r>
      <w:r w:rsidRPr="00066C0D">
        <w:t xml:space="preserve"> z 4. 11</w:t>
      </w:r>
      <w:proofErr w:type="gramEnd"/>
      <w:r w:rsidRPr="00066C0D">
        <w:t>. 2019.</w:t>
      </w:r>
    </w:p>
    <w:p w:rsidR="00B235C2" w:rsidRDefault="00066C0D" w:rsidP="00B235C2">
      <w:pPr>
        <w:pStyle w:val="vlevo"/>
      </w:pPr>
      <w:hyperlink r:id="rId13" w:history="1">
        <w:r w:rsidRPr="00BE3B54">
          <w:rPr>
            <w:rStyle w:val="Hypertextovodkaz"/>
          </w:rPr>
          <w:t>https://usneseni.plzen.eu/bin_Soubor.php?id=</w:t>
        </w:r>
        <w:r w:rsidRPr="00BE3B54">
          <w:rPr>
            <w:rStyle w:val="Hypertextovodkaz"/>
          </w:rPr>
          <w:t>9</w:t>
        </w:r>
        <w:r w:rsidRPr="00BE3B54">
          <w:rPr>
            <w:rStyle w:val="Hypertextovodkaz"/>
          </w:rPr>
          <w:t>8113</w:t>
        </w:r>
      </w:hyperlink>
    </w:p>
    <w:p w:rsidR="00B235C2" w:rsidRDefault="00B235C2" w:rsidP="00B235C2">
      <w:pPr>
        <w:pStyle w:val="ostzahl"/>
        <w:ind w:left="426"/>
      </w:pPr>
      <w:r>
        <w:t>Závazky a pohledávky vůči městu Plzeň</w:t>
      </w:r>
    </w:p>
    <w:p w:rsidR="00B235C2" w:rsidRDefault="00B235C2" w:rsidP="00B235C2">
      <w:pPr>
        <w:pStyle w:val="vlevo"/>
      </w:pPr>
      <w:r>
        <w:t>Ke dni 21. 10. 2019 nemají manželé Zikmundovi evidovány žádné závazky po splatnosti vůči městu Plzeň.</w:t>
      </w:r>
    </w:p>
    <w:p w:rsidR="00B235C2" w:rsidRDefault="00B235C2" w:rsidP="00B235C2">
      <w:pPr>
        <w:pStyle w:val="vlevo"/>
      </w:pPr>
    </w:p>
    <w:p w:rsidR="00B235C2" w:rsidRDefault="00B235C2" w:rsidP="00B235C2">
      <w:pPr>
        <w:pStyle w:val="vlevo"/>
      </w:pPr>
    </w:p>
    <w:p w:rsidR="00B235C2" w:rsidRDefault="00B235C2" w:rsidP="00B235C2">
      <w:pPr>
        <w:pStyle w:val="vlevo"/>
      </w:pPr>
    </w:p>
    <w:p w:rsidR="00B235C2" w:rsidRDefault="00B235C2" w:rsidP="00B235C2">
      <w:pPr>
        <w:pStyle w:val="ostzahl"/>
        <w:tabs>
          <w:tab w:val="clear" w:pos="1070"/>
          <w:tab w:val="left" w:pos="708"/>
        </w:tabs>
        <w:ind w:left="426"/>
      </w:pPr>
      <w:r>
        <w:lastRenderedPageBreak/>
        <w:t>Přílohy</w:t>
      </w:r>
    </w:p>
    <w:p w:rsidR="00B235C2" w:rsidRDefault="00B235C2" w:rsidP="00B235C2">
      <w:pPr>
        <w:pStyle w:val="vlevo"/>
      </w:pPr>
      <w:r>
        <w:t>Příloha č. 1 - stanovisko ORP.</w:t>
      </w:r>
    </w:p>
    <w:p w:rsidR="00B235C2" w:rsidRDefault="00B235C2" w:rsidP="00B235C2">
      <w:pPr>
        <w:pStyle w:val="vlevo"/>
      </w:pPr>
      <w:r>
        <w:t>Příloha č. 2 - foto.</w:t>
      </w:r>
    </w:p>
    <w:p w:rsidR="00B235C2" w:rsidRDefault="00B235C2" w:rsidP="00B235C2">
      <w:pPr>
        <w:pStyle w:val="vlevo"/>
      </w:pPr>
      <w:r>
        <w:t xml:space="preserve">Příloha č. 3 - snímky map - k. </w:t>
      </w:r>
      <w:proofErr w:type="spellStart"/>
      <w:r>
        <w:t>ú.</w:t>
      </w:r>
      <w:proofErr w:type="spellEnd"/>
      <w:r>
        <w:t xml:space="preserve"> Plzeň (FO):</w:t>
      </w:r>
    </w:p>
    <w:p w:rsidR="00B235C2" w:rsidRDefault="00B235C2" w:rsidP="00B235C2">
      <w:pPr>
        <w:pStyle w:val="vlevo"/>
      </w:pPr>
      <w:r>
        <w:tab/>
      </w:r>
      <w:r>
        <w:tab/>
        <w:t>- modrá mapa se zákresem,</w:t>
      </w:r>
    </w:p>
    <w:p w:rsidR="00B235C2" w:rsidRDefault="00B235C2" w:rsidP="00B235C2">
      <w:pPr>
        <w:pStyle w:val="vlevo"/>
      </w:pPr>
      <w:r>
        <w:tab/>
      </w:r>
      <w:r>
        <w:tab/>
        <w:t xml:space="preserve">- letecký </w:t>
      </w:r>
      <w:proofErr w:type="gramStart"/>
      <w:r>
        <w:t>snímek..</w:t>
      </w:r>
      <w:proofErr w:type="gramEnd"/>
    </w:p>
    <w:p w:rsidR="00B235C2" w:rsidRDefault="00B235C2" w:rsidP="00B235C2">
      <w:pPr>
        <w:pStyle w:val="vlevo"/>
      </w:pPr>
      <w:r>
        <w:t>Příloha č. 4 - snímky map - ul. Spojovací (MP):</w:t>
      </w:r>
    </w:p>
    <w:p w:rsidR="00B235C2" w:rsidRDefault="00B235C2" w:rsidP="00B235C2">
      <w:pPr>
        <w:pStyle w:val="vlevo"/>
      </w:pPr>
      <w:r>
        <w:tab/>
      </w:r>
      <w:r>
        <w:tab/>
        <w:t>- modrá mapa se zákresem,</w:t>
      </w:r>
    </w:p>
    <w:p w:rsidR="00B235C2" w:rsidRDefault="00B235C2" w:rsidP="00B235C2">
      <w:pPr>
        <w:pStyle w:val="vlevo"/>
      </w:pPr>
      <w:r>
        <w:tab/>
      </w:r>
      <w:r>
        <w:tab/>
        <w:t>- letecký snímek.</w:t>
      </w:r>
    </w:p>
    <w:p w:rsidR="00B235C2" w:rsidRDefault="00B235C2" w:rsidP="00B235C2">
      <w:pPr>
        <w:pStyle w:val="vlevo"/>
      </w:pPr>
    </w:p>
    <w:p w:rsidR="00B235C2" w:rsidRDefault="00B235C2" w:rsidP="00B235C2">
      <w:pPr>
        <w:pStyle w:val="vlevo"/>
      </w:pPr>
    </w:p>
    <w:p w:rsidR="00B235C2" w:rsidRDefault="00B235C2" w:rsidP="00B235C2">
      <w:pPr>
        <w:pStyle w:val="vlevo"/>
      </w:pPr>
    </w:p>
    <w:p w:rsidR="00B235C2" w:rsidRDefault="00B235C2" w:rsidP="00B235C2"/>
    <w:p w:rsidR="00DE6900" w:rsidRDefault="00DE6900"/>
    <w:sectPr w:rsidR="00DE690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C2" w:rsidRDefault="00B235C2" w:rsidP="00B235C2">
      <w:r>
        <w:separator/>
      </w:r>
    </w:p>
  </w:endnote>
  <w:endnote w:type="continuationSeparator" w:id="0">
    <w:p w:rsidR="00B235C2" w:rsidRDefault="00B235C2" w:rsidP="00B2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078206"/>
      <w:docPartObj>
        <w:docPartGallery w:val="Page Numbers (Bottom of Page)"/>
        <w:docPartUnique/>
      </w:docPartObj>
    </w:sdtPr>
    <w:sdtEndPr/>
    <w:sdtContent>
      <w:p w:rsidR="00B235C2" w:rsidRDefault="00B235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0D">
          <w:rPr>
            <w:noProof/>
          </w:rPr>
          <w:t>2</w:t>
        </w:r>
        <w:r>
          <w:fldChar w:fldCharType="end"/>
        </w:r>
      </w:p>
    </w:sdtContent>
  </w:sdt>
  <w:p w:rsidR="00B235C2" w:rsidRDefault="00B235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C2" w:rsidRDefault="00B235C2" w:rsidP="00B235C2">
      <w:r>
        <w:separator/>
      </w:r>
    </w:p>
  </w:footnote>
  <w:footnote w:type="continuationSeparator" w:id="0">
    <w:p w:rsidR="00B235C2" w:rsidRDefault="00B235C2" w:rsidP="00B2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C2"/>
    <w:rsid w:val="00066C0D"/>
    <w:rsid w:val="0040525F"/>
    <w:rsid w:val="00B235C2"/>
    <w:rsid w:val="00C87DC3"/>
    <w:rsid w:val="00D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5C2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235C2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235C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35C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35C2"/>
    <w:pPr>
      <w:ind w:left="720"/>
      <w:contextualSpacing/>
    </w:pPr>
  </w:style>
  <w:style w:type="character" w:customStyle="1" w:styleId="vlevoChar">
    <w:name w:val="vlevo Char"/>
    <w:link w:val="vlevo"/>
    <w:locked/>
    <w:rsid w:val="00B235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B235C2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B235C2"/>
    <w:pPr>
      <w:numPr>
        <w:numId w:val="1"/>
      </w:numPr>
      <w:tabs>
        <w:tab w:val="clear" w:pos="360"/>
        <w:tab w:val="num" w:pos="1070"/>
      </w:tabs>
      <w:spacing w:before="120" w:after="120"/>
      <w:ind w:left="1067"/>
    </w:pPr>
    <w:rPr>
      <w:b/>
      <w:spacing w:val="22"/>
      <w:sz w:val="24"/>
    </w:rPr>
  </w:style>
  <w:style w:type="paragraph" w:styleId="Zhlav">
    <w:name w:val="header"/>
    <w:basedOn w:val="Normln"/>
    <w:link w:val="ZhlavChar"/>
    <w:uiPriority w:val="99"/>
    <w:unhideWhenUsed/>
    <w:rsid w:val="00B235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5C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35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5C2"/>
    <w:rPr>
      <w:rFonts w:ascii="Times New Roman" w:eastAsia="Times New Roman" w:hAnsi="Times New 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6C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5C2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235C2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235C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35C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35C2"/>
    <w:pPr>
      <w:ind w:left="720"/>
      <w:contextualSpacing/>
    </w:pPr>
  </w:style>
  <w:style w:type="character" w:customStyle="1" w:styleId="vlevoChar">
    <w:name w:val="vlevo Char"/>
    <w:link w:val="vlevo"/>
    <w:locked/>
    <w:rsid w:val="00B235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B235C2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B235C2"/>
    <w:pPr>
      <w:numPr>
        <w:numId w:val="1"/>
      </w:numPr>
      <w:tabs>
        <w:tab w:val="clear" w:pos="360"/>
        <w:tab w:val="num" w:pos="1070"/>
      </w:tabs>
      <w:spacing w:before="120" w:after="120"/>
      <w:ind w:left="1067"/>
    </w:pPr>
    <w:rPr>
      <w:b/>
      <w:spacing w:val="22"/>
      <w:sz w:val="24"/>
    </w:rPr>
  </w:style>
  <w:style w:type="paragraph" w:styleId="Zhlav">
    <w:name w:val="header"/>
    <w:basedOn w:val="Normln"/>
    <w:link w:val="ZhlavChar"/>
    <w:uiPriority w:val="99"/>
    <w:unhideWhenUsed/>
    <w:rsid w:val="00B235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5C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35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5C2"/>
    <w:rPr>
      <w:rFonts w:ascii="Times New Roman" w:eastAsia="Times New Roman" w:hAnsi="Times New 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6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25545" TargetMode="External"/><Relationship Id="rId13" Type="http://schemas.openxmlformats.org/officeDocument/2006/relationships/hyperlink" Target="https://usneseni.plzen.eu/bin_Soubor.php?id=981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sneseni.plzen.eu/bin_Soubor.php?id=979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neseni.plzen.eu/bin_Soubor.php?id=673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neseni.plzen.eu/bin_Soubor.php?id=48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neseni.plzen.eu/bin_Soubor.php?id=930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4</cp:revision>
  <cp:lastPrinted>2019-10-23T08:09:00Z</cp:lastPrinted>
  <dcterms:created xsi:type="dcterms:W3CDTF">2019-10-23T08:02:00Z</dcterms:created>
  <dcterms:modified xsi:type="dcterms:W3CDTF">2019-11-05T12:30:00Z</dcterms:modified>
</cp:coreProperties>
</file>