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C4" w:rsidRDefault="00AD28C4" w:rsidP="00AD28C4">
      <w:pPr>
        <w:pStyle w:val="Nadpis3"/>
      </w:pPr>
      <w:r>
        <w:t>Důvodová zpráva</w:t>
      </w:r>
    </w:p>
    <w:p w:rsidR="00AD28C4" w:rsidRDefault="00AD28C4" w:rsidP="00AD28C4">
      <w:pPr>
        <w:jc w:val="center"/>
        <w:rPr>
          <w:b/>
          <w:sz w:val="24"/>
          <w:szCs w:val="24"/>
        </w:rPr>
      </w:pPr>
    </w:p>
    <w:p w:rsidR="00AD28C4" w:rsidRDefault="00AD28C4" w:rsidP="00AD28C4">
      <w:pPr>
        <w:pStyle w:val="ostzahl"/>
      </w:pPr>
      <w:r>
        <w:t>Název problému a jeho charakteristika</w:t>
      </w:r>
    </w:p>
    <w:p w:rsidR="00AD28C4" w:rsidRDefault="00AD28C4" w:rsidP="00AD28C4">
      <w:pPr>
        <w:pStyle w:val="vlevo"/>
      </w:pPr>
      <w:r>
        <w:t xml:space="preserve">Uzavření dohody o zrušení smlouvy o smlouvě budoucí kupní na převod TDI do majetku města Plzně v souvislosti se stavbami „Obytná zóna Za Humny I. – Dolní </w:t>
      </w:r>
      <w:proofErr w:type="spellStart"/>
      <w:r>
        <w:t>Vlkýš</w:t>
      </w:r>
      <w:proofErr w:type="spellEnd"/>
      <w:r>
        <w:t xml:space="preserve">“ a „Obytná zóna Za Humny II. – Dolní </w:t>
      </w:r>
      <w:proofErr w:type="spellStart"/>
      <w:r>
        <w:t>Vlkýš</w:t>
      </w:r>
      <w:proofErr w:type="spellEnd"/>
      <w:r>
        <w:t>“ - investor NUMEN, s.r.o.</w:t>
      </w:r>
    </w:p>
    <w:p w:rsidR="00AD28C4" w:rsidRDefault="00AD28C4" w:rsidP="00AD28C4">
      <w:pPr>
        <w:pStyle w:val="ostzahl"/>
      </w:pPr>
      <w:r>
        <w:t>Konstatování současného stavu a jeho analýza</w:t>
      </w:r>
    </w:p>
    <w:p w:rsidR="00AD28C4" w:rsidRDefault="00AD28C4" w:rsidP="00AD28C4">
      <w:pPr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stavebně správní MMP vydal v roce 2006 územní rozhodnutí č. 3704 o umístění stavby „Obytná zóna Za Humny I – Dolní </w:t>
      </w:r>
      <w:proofErr w:type="spellStart"/>
      <w:r>
        <w:rPr>
          <w:sz w:val="24"/>
          <w:szCs w:val="24"/>
        </w:rPr>
        <w:t>Vlkýš</w:t>
      </w:r>
      <w:proofErr w:type="spellEnd"/>
      <w:r>
        <w:rPr>
          <w:sz w:val="24"/>
          <w:szCs w:val="24"/>
        </w:rPr>
        <w:t xml:space="preserve">“ a dne 16. 10. 2007 Územní rozhodnutí č. 3943 </w:t>
      </w:r>
      <w:r>
        <w:rPr>
          <w:sz w:val="24"/>
          <w:szCs w:val="24"/>
        </w:rPr>
        <w:br/>
        <w:t xml:space="preserve">o umístění stavby „Obytná zóna Za Humny II – Dolní </w:t>
      </w:r>
      <w:proofErr w:type="spellStart"/>
      <w:r>
        <w:rPr>
          <w:sz w:val="24"/>
          <w:szCs w:val="24"/>
        </w:rPr>
        <w:t>Vlkýš</w:t>
      </w:r>
      <w:proofErr w:type="spellEnd"/>
      <w:r>
        <w:rPr>
          <w:sz w:val="24"/>
          <w:szCs w:val="24"/>
        </w:rPr>
        <w:t>“, pro navrhovatele společnost NUMEN, s.r.o. Stavební povolení nebylo vydáno.</w:t>
      </w:r>
    </w:p>
    <w:p w:rsidR="00AD28C4" w:rsidRDefault="00AD28C4" w:rsidP="00AD28C4">
      <w:pPr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NUMEN, s.r.o. měla s městem Plzní uzavřenou nájemní smlouvu na nájem částí pozemků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3/1, 61/13, 148, 326, 327, 328, 329, 332, 334, 344, 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Dolní </w:t>
      </w:r>
      <w:proofErr w:type="spellStart"/>
      <w:proofErr w:type="gramStart"/>
      <w:r>
        <w:rPr>
          <w:sz w:val="24"/>
          <w:szCs w:val="24"/>
        </w:rPr>
        <w:t>Vlkýš</w:t>
      </w:r>
      <w:proofErr w:type="spellEnd"/>
      <w:r>
        <w:rPr>
          <w:sz w:val="24"/>
          <w:szCs w:val="24"/>
        </w:rPr>
        <w:t>,  za</w:t>
      </w:r>
      <w:proofErr w:type="gramEnd"/>
      <w:r>
        <w:rPr>
          <w:sz w:val="24"/>
          <w:szCs w:val="24"/>
        </w:rPr>
        <w:t xml:space="preserve"> účelem výstavby technické a dopravní infrastruktury v souvislosti s výše uvedenými stavbami. Vzhledem k tomu, že investor nesplnil podmínky nájemní smlouvy (nebyl dodržen termín podání žádosti o vydání stavebního povolení na stavbu TDI, nebyla jím uhrazena smluvní pokuta a dále ani přes opakované upomínky jím nebylo uhrazeno žádné nájemné stejně jako bezdůvodné obohacení vyměřené za období dvou let před uzavřením smlouvy), předložila SVSMP do orgánů města Plzně v dubnu r. 2019 ukončení nájemní smlouvy </w:t>
      </w:r>
      <w:r>
        <w:rPr>
          <w:sz w:val="24"/>
          <w:szCs w:val="24"/>
        </w:rPr>
        <w:br/>
        <w:t>č. 2013/004886/NS. RMP přijala usnesení č. 477/2019, kterým ukončení NS schválila.</w:t>
      </w:r>
    </w:p>
    <w:p w:rsidR="00AD28C4" w:rsidRDefault="00AD28C4" w:rsidP="00AD28C4">
      <w:pPr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 souvislosti s výše uvedenými stavbami byly mezi městem Plzní a společností NUMEN, s.r.o. uzavřené také tyto budoucí smlouvy (</w:t>
      </w:r>
      <w:proofErr w:type="spellStart"/>
      <w:r>
        <w:rPr>
          <w:sz w:val="24"/>
          <w:szCs w:val="24"/>
        </w:rPr>
        <w:t>SoBS</w:t>
      </w:r>
      <w:proofErr w:type="spellEnd"/>
      <w:r>
        <w:rPr>
          <w:sz w:val="24"/>
          <w:szCs w:val="24"/>
        </w:rPr>
        <w:t>):</w:t>
      </w:r>
    </w:p>
    <w:p w:rsidR="00AD28C4" w:rsidRDefault="00AD28C4" w:rsidP="00AD28C4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smlouva o budoucí smlouvě kupní č. 2013/004784 na převod vybudované TDI  - komunikace (pouze místní komunikace „C“, směr od návsi k severu) vč. odvodnění; sadové úpravy; veřejné osvětlení; dešťová kanalizace) do majetku města Plzně;</w:t>
      </w:r>
    </w:p>
    <w:p w:rsidR="00AD28C4" w:rsidRDefault="00AD28C4" w:rsidP="00AD28C4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smlouva o smlouvě budoucí o zřízení věcného břemene č. 2013/004786 (dešťová kanalizace) ve prospěch města Plzně;</w:t>
      </w:r>
    </w:p>
    <w:p w:rsidR="00AD28C4" w:rsidRDefault="00AD28C4" w:rsidP="00AD28C4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smlouva o smlouvě budoucí o zřízení věcného břemene č. 2013/004785 (vodovodní řad) ve prospěch NUMEN, s.r.o.</w:t>
      </w:r>
    </w:p>
    <w:p w:rsidR="00AD28C4" w:rsidRDefault="00AD28C4" w:rsidP="00AD28C4">
      <w:pPr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Stavby „Obytná zóna Za Humny I – Dolní </w:t>
      </w:r>
      <w:proofErr w:type="spellStart"/>
      <w:r>
        <w:rPr>
          <w:sz w:val="24"/>
          <w:szCs w:val="24"/>
        </w:rPr>
        <w:t>Vlkýš</w:t>
      </w:r>
      <w:proofErr w:type="spellEnd"/>
      <w:r>
        <w:rPr>
          <w:sz w:val="24"/>
          <w:szCs w:val="24"/>
        </w:rPr>
        <w:t xml:space="preserve">“ a „Obytná zóna Za Humny II – Dolní </w:t>
      </w:r>
      <w:proofErr w:type="spellStart"/>
      <w:r>
        <w:rPr>
          <w:sz w:val="24"/>
          <w:szCs w:val="24"/>
        </w:rPr>
        <w:t>Vlkýš</w:t>
      </w:r>
      <w:proofErr w:type="spellEnd"/>
      <w:r>
        <w:rPr>
          <w:sz w:val="24"/>
          <w:szCs w:val="24"/>
        </w:rPr>
        <w:t xml:space="preserve">“ měly být dokončené do 31. 12. 2018. Dle ujednání ve </w:t>
      </w:r>
      <w:proofErr w:type="spellStart"/>
      <w:r>
        <w:rPr>
          <w:sz w:val="24"/>
          <w:szCs w:val="24"/>
        </w:rPr>
        <w:t>SoBS</w:t>
      </w:r>
      <w:proofErr w:type="spellEnd"/>
      <w:r>
        <w:rPr>
          <w:sz w:val="24"/>
          <w:szCs w:val="24"/>
        </w:rPr>
        <w:t xml:space="preserve"> měly být konečné smlouvy uzavřeny do 14 měsíců ode dne vydání posledního kolaudačního souhlasu na dokončené stavby „Obytná zóna Za Humny I – Dolní </w:t>
      </w:r>
      <w:proofErr w:type="spellStart"/>
      <w:r>
        <w:rPr>
          <w:sz w:val="24"/>
          <w:szCs w:val="24"/>
        </w:rPr>
        <w:t>Vlkýš</w:t>
      </w:r>
      <w:proofErr w:type="spellEnd"/>
      <w:r>
        <w:rPr>
          <w:sz w:val="24"/>
          <w:szCs w:val="24"/>
        </w:rPr>
        <w:t xml:space="preserve">“ a „Obytná zóna Za Humny II – Dolní </w:t>
      </w:r>
      <w:proofErr w:type="spellStart"/>
      <w:r>
        <w:rPr>
          <w:sz w:val="24"/>
          <w:szCs w:val="24"/>
        </w:rPr>
        <w:t>Vlkýš</w:t>
      </w:r>
      <w:proofErr w:type="spellEnd"/>
      <w:r>
        <w:rPr>
          <w:sz w:val="24"/>
          <w:szCs w:val="24"/>
        </w:rPr>
        <w:t xml:space="preserve">“, nejpozději však do 28. 2. 2020. Za nedodržení termínu je ve </w:t>
      </w:r>
      <w:proofErr w:type="spellStart"/>
      <w:r>
        <w:rPr>
          <w:sz w:val="24"/>
          <w:szCs w:val="24"/>
        </w:rPr>
        <w:t>SoBS</w:t>
      </w:r>
      <w:proofErr w:type="spellEnd"/>
      <w:r>
        <w:rPr>
          <w:sz w:val="24"/>
          <w:szCs w:val="24"/>
        </w:rPr>
        <w:t xml:space="preserve"> na převod TDI sjednána smluvní pokuta za nedodržení termínu pro uzavření konečné kupní smlouvy ve výši 200 000 Kč a právo města Plzně na odstoupení od smlouvy.</w:t>
      </w:r>
    </w:p>
    <w:p w:rsidR="00AD28C4" w:rsidRDefault="00AD28C4" w:rsidP="00AD28C4">
      <w:pPr>
        <w:pStyle w:val="vlevo"/>
        <w:rPr>
          <w:szCs w:val="24"/>
        </w:rPr>
      </w:pPr>
      <w:r>
        <w:t xml:space="preserve">S ohledem na zánik nájemního vztahu mezi městem Plzní a společností NUMEN, s.r.o. a dále z důvodu, že společnost prodala pozemky dotčené stavbami </w:t>
      </w:r>
      <w:r>
        <w:rPr>
          <w:szCs w:val="24"/>
        </w:rPr>
        <w:t xml:space="preserve">„Obytná zóna Za Humny I – Dolní </w:t>
      </w:r>
      <w:proofErr w:type="spellStart"/>
      <w:r>
        <w:rPr>
          <w:szCs w:val="24"/>
        </w:rPr>
        <w:t>Vlkýš</w:t>
      </w:r>
      <w:proofErr w:type="spellEnd"/>
      <w:r>
        <w:rPr>
          <w:szCs w:val="24"/>
        </w:rPr>
        <w:t xml:space="preserve">“ a „Obytná zóna Za Humny II – Dolní </w:t>
      </w:r>
      <w:proofErr w:type="spellStart"/>
      <w:r>
        <w:rPr>
          <w:szCs w:val="24"/>
        </w:rPr>
        <w:t>Vlkýš</w:t>
      </w:r>
      <w:proofErr w:type="spellEnd"/>
      <w:r>
        <w:rPr>
          <w:szCs w:val="24"/>
        </w:rPr>
        <w:t>“ jinému subjektu, požádal v</w:t>
      </w:r>
      <w:r>
        <w:t> lednu r. 2020 jednatel společnosti p. Antonín Vlasák o zrušení výše uvedených budoucích smluv</w:t>
      </w:r>
      <w:r>
        <w:rPr>
          <w:szCs w:val="24"/>
        </w:rPr>
        <w:t xml:space="preserve"> dohodou a v případě, že by vznikly z předmětných smluv smluvní pokuty zároveň o jejich prominutí.</w:t>
      </w:r>
    </w:p>
    <w:p w:rsidR="00AD28C4" w:rsidRDefault="00AD28C4" w:rsidP="00AD28C4">
      <w:pPr>
        <w:pStyle w:val="vlevo"/>
        <w:rPr>
          <w:szCs w:val="24"/>
        </w:rPr>
      </w:pPr>
      <w:r>
        <w:rPr>
          <w:szCs w:val="24"/>
        </w:rPr>
        <w:t>V případě, že budou dohody o zrušení budoucích smluv (kupní i o zřízení věcných břemen) uzavřené do 28. 2. 2020, neplynou z uzavřených budoucích smluv žádné smluvní pokuty.</w:t>
      </w:r>
    </w:p>
    <w:p w:rsidR="00AD28C4" w:rsidRDefault="00AD28C4" w:rsidP="00AD28C4">
      <w:pPr>
        <w:pStyle w:val="vlevo"/>
      </w:pPr>
    </w:p>
    <w:p w:rsidR="00AD28C4" w:rsidRDefault="00F5273E" w:rsidP="00AD28C4">
      <w:pPr>
        <w:pStyle w:val="vlevo"/>
      </w:pPr>
      <w:r>
        <w:lastRenderedPageBreak/>
        <w:t xml:space="preserve">KNM doporučila RMP souhlasit s uzavřením dohody o zrušení smlouvy o smlouvě budoucí kupní č. 2013/004784 a schválit uzavření dohod o zrušení smlouvy o smlouvě budoucí o zřízení věcného břemen č. 2013/004785 a č. 2013/004786. </w:t>
      </w:r>
    </w:p>
    <w:p w:rsidR="00F5273E" w:rsidRDefault="004632F7" w:rsidP="00F5273E">
      <w:pPr>
        <w:pStyle w:val="vlevo"/>
      </w:pPr>
      <w:r>
        <w:t>Vzhledem k tomu</w:t>
      </w:r>
      <w:r w:rsidR="00F5273E">
        <w:t>, že uzavření dohod o zrušení smluv o budoucích smlouvách o zřízení věcného břemene b</w:t>
      </w:r>
      <w:r>
        <w:t>ude</w:t>
      </w:r>
      <w:r w:rsidR="00F5273E">
        <w:t xml:space="preserve"> projednáno v RMP </w:t>
      </w:r>
      <w:r>
        <w:t>až po odevzdání tohoto materiálu, bude p</w:t>
      </w:r>
      <w:r w:rsidR="00F5273E">
        <w:t xml:space="preserve">řijaté usnesení RMP ze dne 3. 2. 2020 </w:t>
      </w:r>
      <w:bookmarkStart w:id="0" w:name="_GoBack"/>
      <w:bookmarkEnd w:id="0"/>
      <w:r w:rsidR="00F5273E">
        <w:t>v den konání ZMP u předkladatele materiálu.</w:t>
      </w:r>
    </w:p>
    <w:p w:rsidR="00AD28C4" w:rsidRDefault="00AD28C4" w:rsidP="00AD28C4">
      <w:pPr>
        <w:pStyle w:val="ostzahl"/>
      </w:pPr>
      <w:r>
        <w:t>Předpokládaný cílový stav</w:t>
      </w:r>
    </w:p>
    <w:p w:rsidR="00AD28C4" w:rsidRDefault="00AD28C4" w:rsidP="00AD28C4">
      <w:pPr>
        <w:pStyle w:val="vlevo"/>
      </w:pPr>
      <w:r>
        <w:t xml:space="preserve">Uzavření dohody o zrušení smlouvy o budoucí smlouvě kupní č. 2013/004784, smlouvy </w:t>
      </w:r>
      <w:r>
        <w:br/>
        <w:t xml:space="preserve">o smlouvě budoucí o zřízení věcného břemene č. 2013/004786 a smlouvy o smlouvě budoucí o zřízení věcného břemene č. 2013/004785  v souvislosti se stavbami „Obytná zóna Za Humny I. – Dolní </w:t>
      </w:r>
      <w:proofErr w:type="spellStart"/>
      <w:r>
        <w:t>Vlkýš</w:t>
      </w:r>
      <w:proofErr w:type="spellEnd"/>
      <w:r>
        <w:t xml:space="preserve">“ a „Obytná zóna Za Humny II. – Dolní </w:t>
      </w:r>
      <w:proofErr w:type="spellStart"/>
      <w:r>
        <w:t>Vlkýš</w:t>
      </w:r>
      <w:proofErr w:type="spellEnd"/>
      <w:r>
        <w:t>“.</w:t>
      </w:r>
    </w:p>
    <w:p w:rsidR="00AD28C4" w:rsidRDefault="00AD28C4" w:rsidP="00AD28C4">
      <w:pPr>
        <w:pStyle w:val="ostzahl"/>
      </w:pPr>
      <w:r>
        <w:t>Navrhované varianty řešení</w:t>
      </w:r>
    </w:p>
    <w:p w:rsidR="00AD28C4" w:rsidRDefault="00AD28C4" w:rsidP="00AD28C4">
      <w:pPr>
        <w:pStyle w:val="Paragrafneslovan"/>
      </w:pPr>
      <w:r>
        <w:t>Viz návrh usnesení.</w:t>
      </w:r>
    </w:p>
    <w:p w:rsidR="00AD28C4" w:rsidRDefault="00AD28C4" w:rsidP="00AD28C4">
      <w:pPr>
        <w:pStyle w:val="ostzahl"/>
      </w:pPr>
      <w:r>
        <w:t>Doporučená varianta řešení</w:t>
      </w:r>
    </w:p>
    <w:p w:rsidR="00AD28C4" w:rsidRDefault="00AD28C4" w:rsidP="00AD28C4">
      <w:pPr>
        <w:pStyle w:val="Zkladntextodsazen22"/>
        <w:tabs>
          <w:tab w:val="left" w:pos="0"/>
        </w:tabs>
        <w:spacing w:before="0" w:after="120"/>
        <w:ind w:firstLine="0"/>
        <w:jc w:val="both"/>
      </w:pPr>
      <w:r>
        <w:rPr>
          <w:szCs w:val="24"/>
        </w:rPr>
        <w:t xml:space="preserve">Viz návrh usnesení. </w:t>
      </w:r>
    </w:p>
    <w:p w:rsidR="00AD28C4" w:rsidRDefault="00AD28C4" w:rsidP="00AD28C4">
      <w:pPr>
        <w:pStyle w:val="ostzahl"/>
      </w:pPr>
      <w:r>
        <w:t>Finanční nároky řešení a možnosti finančního krytí</w:t>
      </w:r>
    </w:p>
    <w:p w:rsidR="00AD28C4" w:rsidRDefault="00405B83" w:rsidP="00AD28C4">
      <w:pPr>
        <w:pStyle w:val="vlevo"/>
      </w:pPr>
      <w:r>
        <w:t>Nejsou</w:t>
      </w:r>
      <w:r w:rsidR="00AD28C4">
        <w:t>.</w:t>
      </w:r>
    </w:p>
    <w:p w:rsidR="00AD28C4" w:rsidRDefault="00AD28C4" w:rsidP="00AD28C4">
      <w:pPr>
        <w:pStyle w:val="ostzahl"/>
      </w:pPr>
      <w:r>
        <w:t>Návrh termínů realizace a určení zodpovědných pracovníků</w:t>
      </w:r>
    </w:p>
    <w:p w:rsidR="00AD28C4" w:rsidRDefault="00AD28C4" w:rsidP="00AD28C4">
      <w:pPr>
        <w:pStyle w:val="vlevo"/>
      </w:pPr>
      <w:r>
        <w:t>Viz návrh usnesení.</w:t>
      </w:r>
    </w:p>
    <w:p w:rsidR="00AD28C4" w:rsidRDefault="00AD28C4" w:rsidP="00AD28C4">
      <w:pPr>
        <w:pStyle w:val="ostzahl"/>
      </w:pPr>
      <w:r>
        <w:t>Dříve přijatá usnesení orgánů města nebo městských obvodů, která s tímto návrhem souvisejí</w:t>
      </w:r>
    </w:p>
    <w:p w:rsidR="00AD28C4" w:rsidRDefault="00AD28C4" w:rsidP="00AD28C4">
      <w:pPr>
        <w:pStyle w:val="vlevo"/>
        <w:spacing w:after="0"/>
      </w:pPr>
      <w:r>
        <w:t>Usnesení RMP č. 1204 ze dne 14. 11. 2013 (</w:t>
      </w:r>
      <w:proofErr w:type="spellStart"/>
      <w:r>
        <w:t>SoBS</w:t>
      </w:r>
      <w:proofErr w:type="spellEnd"/>
      <w:r>
        <w:t xml:space="preserve"> - VB).</w:t>
      </w:r>
    </w:p>
    <w:p w:rsidR="00AD28C4" w:rsidRDefault="00E70F93" w:rsidP="00AD28C4">
      <w:pPr>
        <w:pStyle w:val="vlevo"/>
        <w:spacing w:after="0"/>
      </w:pPr>
      <w:hyperlink r:id="rId6" w:history="1">
        <w:r w:rsidR="00AD28C4">
          <w:rPr>
            <w:rStyle w:val="Hypertextovodkaz"/>
          </w:rPr>
          <w:t>https://usneseni.plzen.eu/bin_Soubor.php?id=73043</w:t>
        </w:r>
      </w:hyperlink>
    </w:p>
    <w:p w:rsidR="00AD28C4" w:rsidRDefault="00AD28C4" w:rsidP="00AD28C4">
      <w:pPr>
        <w:pStyle w:val="vlevo"/>
        <w:spacing w:after="0"/>
      </w:pPr>
      <w:r>
        <w:t>Usnesení ZMP č. 660 ze dne 12. 12. 2013 (</w:t>
      </w:r>
      <w:proofErr w:type="spellStart"/>
      <w:r>
        <w:t>SoBS</w:t>
      </w:r>
      <w:proofErr w:type="spellEnd"/>
      <w:r>
        <w:t xml:space="preserve"> kupní - TDI).</w:t>
      </w:r>
    </w:p>
    <w:p w:rsidR="00AD28C4" w:rsidRDefault="00E70F93" w:rsidP="00AD28C4">
      <w:pPr>
        <w:pStyle w:val="vlevo"/>
        <w:spacing w:after="0"/>
      </w:pPr>
      <w:hyperlink r:id="rId7" w:history="1">
        <w:r w:rsidR="00AD28C4">
          <w:rPr>
            <w:rStyle w:val="Hypertextovodkaz"/>
          </w:rPr>
          <w:t>https://usneseni.plzen.eu/bin_Soubor.php?id=73557</w:t>
        </w:r>
      </w:hyperlink>
    </w:p>
    <w:p w:rsidR="00AD28C4" w:rsidRDefault="00AD28C4" w:rsidP="00AD28C4">
      <w:pPr>
        <w:pStyle w:val="vlevo"/>
        <w:spacing w:after="0"/>
      </w:pPr>
      <w:r>
        <w:t>Usnesení RMP ze dne 3. 2. 2020.</w:t>
      </w:r>
    </w:p>
    <w:p w:rsidR="00AD28C4" w:rsidRDefault="00AD28C4" w:rsidP="00AD28C4">
      <w:pPr>
        <w:pStyle w:val="vlevo"/>
        <w:spacing w:after="0"/>
      </w:pPr>
    </w:p>
    <w:p w:rsidR="00AD28C4" w:rsidRDefault="00AD28C4" w:rsidP="00AD28C4">
      <w:pPr>
        <w:pStyle w:val="ostzahl"/>
        <w:spacing w:before="0"/>
      </w:pPr>
      <w:r>
        <w:t>Závazky a pohledávky vůči městu Plzeň</w:t>
      </w:r>
    </w:p>
    <w:p w:rsidR="00AD28C4" w:rsidRDefault="00AD28C4" w:rsidP="00AD28C4">
      <w:pPr>
        <w:pStyle w:val="vlevo"/>
        <w:spacing w:after="0"/>
      </w:pPr>
      <w:r>
        <w:t>Ke dni 10. 1. 2020 má NUMEN</w:t>
      </w:r>
      <w:r w:rsidR="00405B83">
        <w:t>,</w:t>
      </w:r>
      <w:r>
        <w:t xml:space="preserve"> s.r.o. evidovány závazky po splatnosti vůči městu Plzni </w:t>
      </w:r>
      <w:r>
        <w:br/>
        <w:t>ve výši 1 961 638 Kč. Jedná se o neuhrazení nájemného a bezdůvodného obohacení.</w:t>
      </w:r>
    </w:p>
    <w:p w:rsidR="00AD28C4" w:rsidRDefault="00AD28C4" w:rsidP="00AD28C4">
      <w:pPr>
        <w:pStyle w:val="vlevo"/>
        <w:spacing w:after="0"/>
      </w:pPr>
    </w:p>
    <w:p w:rsidR="00AD28C4" w:rsidRDefault="00AD28C4" w:rsidP="00AD28C4">
      <w:pPr>
        <w:pStyle w:val="ostzahl"/>
        <w:spacing w:before="0"/>
      </w:pPr>
      <w:r>
        <w:t>Přílohy</w:t>
      </w:r>
    </w:p>
    <w:p w:rsidR="00AD28C4" w:rsidRDefault="00AD28C4" w:rsidP="00AD28C4">
      <w:pPr>
        <w:pStyle w:val="vlevo"/>
        <w:spacing w:after="0"/>
      </w:pPr>
      <w:r>
        <w:t>Příloha č. 1 - původní koordinační situace – rozsah přebírané TDI.</w:t>
      </w:r>
    </w:p>
    <w:p w:rsidR="00AD28C4" w:rsidRDefault="00AD28C4" w:rsidP="00AD28C4">
      <w:pPr>
        <w:pStyle w:val="vlevo"/>
        <w:spacing w:after="0"/>
      </w:pPr>
      <w:r>
        <w:t>Příloha č. 2 - snímky map:</w:t>
      </w:r>
    </w:p>
    <w:p w:rsidR="00AD28C4" w:rsidRDefault="00AD28C4" w:rsidP="00AD28C4">
      <w:pPr>
        <w:pStyle w:val="vlevo"/>
        <w:spacing w:after="0"/>
      </w:pPr>
      <w:r>
        <w:tab/>
        <w:t xml:space="preserve">        - modrá mapa </w:t>
      </w:r>
    </w:p>
    <w:p w:rsidR="00AD28C4" w:rsidRDefault="00AD28C4" w:rsidP="00AD28C4">
      <w:pPr>
        <w:pStyle w:val="vlevo"/>
        <w:spacing w:after="0"/>
      </w:pPr>
      <w:r>
        <w:tab/>
        <w:t xml:space="preserve">        - letecký snímek, orientační mapa.</w:t>
      </w:r>
    </w:p>
    <w:p w:rsidR="00AD28C4" w:rsidRDefault="00AD28C4" w:rsidP="00AD28C4">
      <w:pPr>
        <w:pStyle w:val="vlevo"/>
        <w:spacing w:after="0"/>
      </w:pPr>
    </w:p>
    <w:p w:rsidR="00AD28C4" w:rsidRDefault="00AD28C4" w:rsidP="00AD28C4">
      <w:pPr>
        <w:pStyle w:val="vlevo"/>
        <w:spacing w:after="0"/>
      </w:pPr>
    </w:p>
    <w:p w:rsidR="00AD28C4" w:rsidRDefault="00AD28C4" w:rsidP="00AD28C4">
      <w:pPr>
        <w:pStyle w:val="vlevo"/>
        <w:spacing w:after="0"/>
      </w:pPr>
    </w:p>
    <w:p w:rsidR="00AD28C4" w:rsidRDefault="00AD28C4" w:rsidP="00AD28C4">
      <w:pPr>
        <w:pStyle w:val="vlevo"/>
        <w:spacing w:after="0"/>
      </w:pPr>
    </w:p>
    <w:p w:rsidR="00AD28C4" w:rsidRDefault="00AD28C4" w:rsidP="00AD28C4">
      <w:pPr>
        <w:pStyle w:val="vlevo"/>
        <w:spacing w:after="0"/>
      </w:pPr>
      <w:r>
        <w:t>Přílohy u předkladatele: výpis z OR, přehled pohledávek.</w:t>
      </w:r>
    </w:p>
    <w:p w:rsidR="00AD28C4" w:rsidRDefault="00AD28C4" w:rsidP="00AD28C4"/>
    <w:p w:rsidR="001161E7" w:rsidRDefault="001161E7"/>
    <w:sectPr w:rsidR="0011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BD8"/>
    <w:multiLevelType w:val="hybridMultilevel"/>
    <w:tmpl w:val="4ADC55CA"/>
    <w:lvl w:ilvl="0" w:tplc="A1DCF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591D70"/>
    <w:multiLevelType w:val="hybridMultilevel"/>
    <w:tmpl w:val="2334F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C4"/>
    <w:rsid w:val="001161E7"/>
    <w:rsid w:val="00405B83"/>
    <w:rsid w:val="004632F7"/>
    <w:rsid w:val="00AD28C4"/>
    <w:rsid w:val="00F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8C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28C4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D28C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AD28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28C4"/>
    <w:pPr>
      <w:ind w:left="720" w:firstLine="0"/>
      <w:contextualSpacing/>
    </w:pPr>
    <w:rPr>
      <w:rFonts w:ascii="Frutiger CE 45" w:hAnsi="Frutiger CE 45"/>
      <w:sz w:val="20"/>
      <w:szCs w:val="24"/>
    </w:rPr>
  </w:style>
  <w:style w:type="paragraph" w:customStyle="1" w:styleId="Paragrafneslovan">
    <w:name w:val="Paragraf nečíslovaný"/>
    <w:basedOn w:val="Normln"/>
    <w:autoRedefine/>
    <w:rsid w:val="00AD28C4"/>
    <w:pPr>
      <w:ind w:firstLine="0"/>
      <w:jc w:val="both"/>
    </w:pPr>
    <w:rPr>
      <w:sz w:val="24"/>
    </w:rPr>
  </w:style>
  <w:style w:type="character" w:customStyle="1" w:styleId="vlevoChar">
    <w:name w:val="vlevo Char"/>
    <w:link w:val="vlevo"/>
    <w:locked/>
    <w:rsid w:val="00AD28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D28C4"/>
    <w:pPr>
      <w:spacing w:after="120"/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AD28C4"/>
    <w:pPr>
      <w:numPr>
        <w:numId w:val="1"/>
      </w:numPr>
      <w:spacing w:before="120" w:after="120"/>
    </w:pPr>
    <w:rPr>
      <w:b/>
      <w:spacing w:val="22"/>
      <w:sz w:val="24"/>
    </w:rPr>
  </w:style>
  <w:style w:type="paragraph" w:customStyle="1" w:styleId="Zkladntextodsazen22">
    <w:name w:val="Základní text odsazený 22"/>
    <w:basedOn w:val="Normln"/>
    <w:rsid w:val="00AD28C4"/>
    <w:pPr>
      <w:overflowPunct w:val="0"/>
      <w:autoSpaceDE w:val="0"/>
      <w:autoSpaceDN w:val="0"/>
      <w:adjustRightInd w:val="0"/>
      <w:spacing w:before="240"/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8C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28C4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D28C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AD28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28C4"/>
    <w:pPr>
      <w:ind w:left="720" w:firstLine="0"/>
      <w:contextualSpacing/>
    </w:pPr>
    <w:rPr>
      <w:rFonts w:ascii="Frutiger CE 45" w:hAnsi="Frutiger CE 45"/>
      <w:sz w:val="20"/>
      <w:szCs w:val="24"/>
    </w:rPr>
  </w:style>
  <w:style w:type="paragraph" w:customStyle="1" w:styleId="Paragrafneslovan">
    <w:name w:val="Paragraf nečíslovaný"/>
    <w:basedOn w:val="Normln"/>
    <w:autoRedefine/>
    <w:rsid w:val="00AD28C4"/>
    <w:pPr>
      <w:ind w:firstLine="0"/>
      <w:jc w:val="both"/>
    </w:pPr>
    <w:rPr>
      <w:sz w:val="24"/>
    </w:rPr>
  </w:style>
  <w:style w:type="character" w:customStyle="1" w:styleId="vlevoChar">
    <w:name w:val="vlevo Char"/>
    <w:link w:val="vlevo"/>
    <w:locked/>
    <w:rsid w:val="00AD28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D28C4"/>
    <w:pPr>
      <w:spacing w:after="120"/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AD28C4"/>
    <w:pPr>
      <w:numPr>
        <w:numId w:val="1"/>
      </w:numPr>
      <w:spacing w:before="120" w:after="120"/>
    </w:pPr>
    <w:rPr>
      <w:b/>
      <w:spacing w:val="22"/>
      <w:sz w:val="24"/>
    </w:rPr>
  </w:style>
  <w:style w:type="paragraph" w:customStyle="1" w:styleId="Zkladntextodsazen22">
    <w:name w:val="Základní text odsazený 22"/>
    <w:basedOn w:val="Normln"/>
    <w:rsid w:val="00AD28C4"/>
    <w:pPr>
      <w:overflowPunct w:val="0"/>
      <w:autoSpaceDE w:val="0"/>
      <w:autoSpaceDN w:val="0"/>
      <w:adjustRightInd w:val="0"/>
      <w:spacing w:before="240"/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neseni.plzen.eu/bin_Soubor.php?id=73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730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4</cp:revision>
  <cp:lastPrinted>2020-01-20T08:57:00Z</cp:lastPrinted>
  <dcterms:created xsi:type="dcterms:W3CDTF">2020-01-15T13:50:00Z</dcterms:created>
  <dcterms:modified xsi:type="dcterms:W3CDTF">2020-01-20T15:56:00Z</dcterms:modified>
</cp:coreProperties>
</file>