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A8" w:rsidRPr="00787EE3" w:rsidRDefault="00325176" w:rsidP="00EC718C">
      <w:pPr>
        <w:pStyle w:val="Nadpis1"/>
        <w:spacing w:before="100" w:beforeAutospacing="1"/>
        <w:rPr>
          <w:rFonts w:cs="Times New Roman"/>
        </w:rPr>
      </w:pPr>
      <w:r w:rsidRPr="00787EE3">
        <w:rPr>
          <w:rFonts w:cs="Times New Roman"/>
        </w:rPr>
        <w:t>DŮVODOVÁ ZPRÁVA</w:t>
      </w:r>
    </w:p>
    <w:p w:rsidR="00AA3F1B" w:rsidRPr="00787EE3" w:rsidRDefault="00325176" w:rsidP="00787EE3">
      <w:pPr>
        <w:pStyle w:val="Odstavecseseznamem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EE3">
        <w:rPr>
          <w:rFonts w:ascii="Times New Roman" w:hAnsi="Times New Roman" w:cs="Times New Roman"/>
          <w:b/>
          <w:sz w:val="24"/>
          <w:szCs w:val="24"/>
        </w:rPr>
        <w:t>Název problému a jeho charakteristika</w:t>
      </w:r>
    </w:p>
    <w:p w:rsidR="00AA3F1B" w:rsidRPr="00787EE3" w:rsidRDefault="00AA3F1B" w:rsidP="00787EE3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7EE3">
        <w:rPr>
          <w:rFonts w:ascii="Times New Roman" w:hAnsi="Times New Roman" w:cs="Times New Roman"/>
          <w:sz w:val="24"/>
          <w:szCs w:val="24"/>
        </w:rPr>
        <w:t>Poskytnutí účelově podmíněné dotace v roce 2020 vlastníkům nemovité kulturní památky</w:t>
      </w:r>
      <w:r w:rsidRPr="00787E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7EE3">
        <w:rPr>
          <w:rFonts w:ascii="Times New Roman" w:hAnsi="Times New Roman" w:cs="Times New Roman"/>
          <w:sz w:val="24"/>
          <w:szCs w:val="24"/>
        </w:rPr>
        <w:t xml:space="preserve">paní Miroslavě Chalupové, Bc. Marku Čejkovi, Bc. Janu </w:t>
      </w:r>
      <w:proofErr w:type="spellStart"/>
      <w:r w:rsidRPr="00787EE3">
        <w:rPr>
          <w:rFonts w:ascii="Times New Roman" w:hAnsi="Times New Roman" w:cs="Times New Roman"/>
          <w:sz w:val="24"/>
          <w:szCs w:val="24"/>
        </w:rPr>
        <w:t>Ficenecovi</w:t>
      </w:r>
      <w:proofErr w:type="spellEnd"/>
      <w:r w:rsidRPr="00787EE3">
        <w:rPr>
          <w:rFonts w:ascii="Times New Roman" w:hAnsi="Times New Roman" w:cs="Times New Roman"/>
          <w:sz w:val="24"/>
          <w:szCs w:val="24"/>
        </w:rPr>
        <w:t xml:space="preserve">, manželům panu Vratislavu </w:t>
      </w:r>
      <w:proofErr w:type="spellStart"/>
      <w:r w:rsidRPr="00787EE3">
        <w:rPr>
          <w:rFonts w:ascii="Times New Roman" w:hAnsi="Times New Roman" w:cs="Times New Roman"/>
          <w:sz w:val="24"/>
          <w:szCs w:val="24"/>
        </w:rPr>
        <w:t>Henžlíkovi</w:t>
      </w:r>
      <w:proofErr w:type="spellEnd"/>
      <w:r w:rsidRPr="00787EE3">
        <w:rPr>
          <w:rFonts w:ascii="Times New Roman" w:hAnsi="Times New Roman" w:cs="Times New Roman"/>
          <w:sz w:val="24"/>
          <w:szCs w:val="24"/>
        </w:rPr>
        <w:t xml:space="preserve"> a Ing. Evě </w:t>
      </w:r>
      <w:proofErr w:type="spellStart"/>
      <w:r w:rsidRPr="00787EE3">
        <w:rPr>
          <w:rFonts w:ascii="Times New Roman" w:hAnsi="Times New Roman" w:cs="Times New Roman"/>
          <w:sz w:val="24"/>
          <w:szCs w:val="24"/>
        </w:rPr>
        <w:t>Henžlíkové</w:t>
      </w:r>
      <w:proofErr w:type="spellEnd"/>
      <w:r w:rsidRPr="00787EE3">
        <w:rPr>
          <w:rFonts w:ascii="Times New Roman" w:hAnsi="Times New Roman" w:cs="Times New Roman"/>
          <w:sz w:val="24"/>
          <w:szCs w:val="24"/>
        </w:rPr>
        <w:t xml:space="preserve">, panu Vratislavu </w:t>
      </w:r>
      <w:proofErr w:type="spellStart"/>
      <w:r w:rsidRPr="00787EE3">
        <w:rPr>
          <w:rFonts w:ascii="Times New Roman" w:hAnsi="Times New Roman" w:cs="Times New Roman"/>
          <w:sz w:val="24"/>
          <w:szCs w:val="24"/>
        </w:rPr>
        <w:t>Henžlíkovi</w:t>
      </w:r>
      <w:proofErr w:type="spellEnd"/>
      <w:r w:rsidRPr="00787EE3">
        <w:rPr>
          <w:rFonts w:ascii="Times New Roman" w:hAnsi="Times New Roman" w:cs="Times New Roman"/>
          <w:sz w:val="24"/>
          <w:szCs w:val="24"/>
        </w:rPr>
        <w:t xml:space="preserve">, paní Zuzaně Hrobařové, panu Ivanu Kalinovi, panu Janu </w:t>
      </w:r>
      <w:proofErr w:type="spellStart"/>
      <w:r w:rsidRPr="00787EE3">
        <w:rPr>
          <w:rFonts w:ascii="Times New Roman" w:hAnsi="Times New Roman" w:cs="Times New Roman"/>
          <w:sz w:val="24"/>
          <w:szCs w:val="24"/>
        </w:rPr>
        <w:t>Kalserovi</w:t>
      </w:r>
      <w:proofErr w:type="spellEnd"/>
      <w:r w:rsidRPr="00787EE3">
        <w:rPr>
          <w:rFonts w:ascii="Times New Roman" w:hAnsi="Times New Roman" w:cs="Times New Roman"/>
          <w:sz w:val="24"/>
          <w:szCs w:val="24"/>
        </w:rPr>
        <w:t xml:space="preserve">, panu Vratislavu </w:t>
      </w:r>
      <w:proofErr w:type="spellStart"/>
      <w:r w:rsidRPr="00787EE3">
        <w:rPr>
          <w:rFonts w:ascii="Times New Roman" w:hAnsi="Times New Roman" w:cs="Times New Roman"/>
          <w:sz w:val="24"/>
          <w:szCs w:val="24"/>
        </w:rPr>
        <w:t>Kalserovi</w:t>
      </w:r>
      <w:proofErr w:type="spellEnd"/>
      <w:r w:rsidRPr="00787EE3">
        <w:rPr>
          <w:rFonts w:ascii="Times New Roman" w:hAnsi="Times New Roman" w:cs="Times New Roman"/>
          <w:sz w:val="24"/>
          <w:szCs w:val="24"/>
        </w:rPr>
        <w:t xml:space="preserve">, paní Magdaleně Kletečkové, paní Daně </w:t>
      </w:r>
      <w:proofErr w:type="spellStart"/>
      <w:r w:rsidRPr="00787EE3">
        <w:rPr>
          <w:rFonts w:ascii="Times New Roman" w:hAnsi="Times New Roman" w:cs="Times New Roman"/>
          <w:sz w:val="24"/>
          <w:szCs w:val="24"/>
        </w:rPr>
        <w:t>Kotcherové</w:t>
      </w:r>
      <w:proofErr w:type="spellEnd"/>
      <w:r w:rsidRPr="00787EE3">
        <w:rPr>
          <w:rFonts w:ascii="Times New Roman" w:hAnsi="Times New Roman" w:cs="Times New Roman"/>
          <w:sz w:val="24"/>
          <w:szCs w:val="24"/>
        </w:rPr>
        <w:t xml:space="preserve">, Ing. Tomáši Portovi, panu Jiřímu Prokopovi, paní Karolíně Ronovské, MUDr. Evě Suchánkové, Mgr. Zdeňce Šnajdrové a paní Kateřině Šulcové na provedení tesařské opravy krovu a nákup a pokládku režné pálené taškové krytiny bobrovky v rámci opravy střechy předního uličního traktu objektu k bydlení čp. 256, Solní 19 v Plzni </w:t>
      </w:r>
      <w:r w:rsidRPr="00787EE3">
        <w:rPr>
          <w:rFonts w:ascii="Times New Roman" w:hAnsi="Times New Roman" w:cs="Times New Roman"/>
          <w:bCs/>
          <w:sz w:val="24"/>
          <w:szCs w:val="24"/>
        </w:rPr>
        <w:t>(příloha č. 1)</w:t>
      </w:r>
      <w:r w:rsidRPr="00787EE3">
        <w:rPr>
          <w:rFonts w:ascii="Times New Roman" w:hAnsi="Times New Roman" w:cs="Times New Roman"/>
          <w:sz w:val="24"/>
          <w:szCs w:val="24"/>
        </w:rPr>
        <w:t>.</w:t>
      </w:r>
    </w:p>
    <w:p w:rsidR="00485642" w:rsidRPr="00787EE3" w:rsidRDefault="00485642" w:rsidP="00787EE3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23B" w:rsidRPr="00787EE3" w:rsidRDefault="00B6223B" w:rsidP="00787EE3">
      <w:pPr>
        <w:pStyle w:val="Odstavecseseznamem"/>
        <w:keepNext/>
        <w:numPr>
          <w:ilvl w:val="0"/>
          <w:numId w:val="1"/>
        </w:numPr>
        <w:ind w:left="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EE3">
        <w:rPr>
          <w:rFonts w:ascii="Times New Roman" w:hAnsi="Times New Roman" w:cs="Times New Roman"/>
          <w:b/>
          <w:sz w:val="24"/>
          <w:szCs w:val="24"/>
        </w:rPr>
        <w:t>Konstatování souč</w:t>
      </w:r>
      <w:r w:rsidR="008927B7" w:rsidRPr="00787EE3">
        <w:rPr>
          <w:rFonts w:ascii="Times New Roman" w:hAnsi="Times New Roman" w:cs="Times New Roman"/>
          <w:b/>
          <w:sz w:val="24"/>
          <w:szCs w:val="24"/>
        </w:rPr>
        <w:t>asného stavu a jeho analýza</w:t>
      </w:r>
    </w:p>
    <w:p w:rsidR="00787EE3" w:rsidRDefault="002110B0" w:rsidP="00787EE3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7EE3">
        <w:rPr>
          <w:rFonts w:ascii="Times New Roman" w:hAnsi="Times New Roman" w:cs="Times New Roman"/>
          <w:sz w:val="24"/>
          <w:szCs w:val="24"/>
        </w:rPr>
        <w:t xml:space="preserve">Měšťanský dům čp. 256, Solní 19 v Plzni, je nemovitou kulturní památkou číslo rejstříku Ústředního seznamu kulturních památek: 13523/4-4831, v území městské památkové rezervace Plzeň. Vlastníky nemovitosti jsou paní Miroslava Chalupová, Bc. Marek Čejka, Bc. Jan </w:t>
      </w:r>
      <w:proofErr w:type="spellStart"/>
      <w:r w:rsidRPr="00787EE3">
        <w:rPr>
          <w:rFonts w:ascii="Times New Roman" w:hAnsi="Times New Roman" w:cs="Times New Roman"/>
          <w:sz w:val="24"/>
          <w:szCs w:val="24"/>
        </w:rPr>
        <w:t>Ficenec</w:t>
      </w:r>
      <w:proofErr w:type="spellEnd"/>
      <w:r w:rsidRPr="00787EE3">
        <w:rPr>
          <w:rFonts w:ascii="Times New Roman" w:hAnsi="Times New Roman" w:cs="Times New Roman"/>
          <w:sz w:val="24"/>
          <w:szCs w:val="24"/>
        </w:rPr>
        <w:t xml:space="preserve">, pan Vratislav </w:t>
      </w:r>
      <w:proofErr w:type="spellStart"/>
      <w:r w:rsidRPr="00787EE3">
        <w:rPr>
          <w:rFonts w:ascii="Times New Roman" w:hAnsi="Times New Roman" w:cs="Times New Roman"/>
          <w:sz w:val="24"/>
          <w:szCs w:val="24"/>
        </w:rPr>
        <w:t>Henžlík</w:t>
      </w:r>
      <w:proofErr w:type="spellEnd"/>
      <w:r w:rsidRPr="00787EE3">
        <w:rPr>
          <w:rFonts w:ascii="Times New Roman" w:hAnsi="Times New Roman" w:cs="Times New Roman"/>
          <w:sz w:val="24"/>
          <w:szCs w:val="24"/>
        </w:rPr>
        <w:t xml:space="preserve"> a Ing. Eva </w:t>
      </w:r>
      <w:proofErr w:type="spellStart"/>
      <w:r w:rsidRPr="00787EE3">
        <w:rPr>
          <w:rFonts w:ascii="Times New Roman" w:hAnsi="Times New Roman" w:cs="Times New Roman"/>
          <w:sz w:val="24"/>
          <w:szCs w:val="24"/>
        </w:rPr>
        <w:t>Henžlíková</w:t>
      </w:r>
      <w:proofErr w:type="spellEnd"/>
      <w:r w:rsidRPr="00787EE3">
        <w:rPr>
          <w:rFonts w:ascii="Times New Roman" w:hAnsi="Times New Roman" w:cs="Times New Roman"/>
          <w:sz w:val="24"/>
          <w:szCs w:val="24"/>
        </w:rPr>
        <w:t xml:space="preserve">, pan Vratislav </w:t>
      </w:r>
      <w:proofErr w:type="spellStart"/>
      <w:r w:rsidRPr="00787EE3">
        <w:rPr>
          <w:rFonts w:ascii="Times New Roman" w:hAnsi="Times New Roman" w:cs="Times New Roman"/>
          <w:sz w:val="24"/>
          <w:szCs w:val="24"/>
        </w:rPr>
        <w:t>Henžlík</w:t>
      </w:r>
      <w:proofErr w:type="spellEnd"/>
      <w:r w:rsidRPr="00787EE3">
        <w:rPr>
          <w:rFonts w:ascii="Times New Roman" w:hAnsi="Times New Roman" w:cs="Times New Roman"/>
          <w:sz w:val="24"/>
          <w:szCs w:val="24"/>
        </w:rPr>
        <w:t xml:space="preserve">, paní Zuzana Hrobařová, pan Ivan Kalina, pan Jan </w:t>
      </w:r>
      <w:proofErr w:type="spellStart"/>
      <w:r w:rsidRPr="00787EE3">
        <w:rPr>
          <w:rFonts w:ascii="Times New Roman" w:hAnsi="Times New Roman" w:cs="Times New Roman"/>
          <w:sz w:val="24"/>
          <w:szCs w:val="24"/>
        </w:rPr>
        <w:t>Kalser</w:t>
      </w:r>
      <w:proofErr w:type="spellEnd"/>
      <w:r w:rsidRPr="00787EE3">
        <w:rPr>
          <w:rFonts w:ascii="Times New Roman" w:hAnsi="Times New Roman" w:cs="Times New Roman"/>
          <w:sz w:val="24"/>
          <w:szCs w:val="24"/>
        </w:rPr>
        <w:t xml:space="preserve">, pan Vratislav </w:t>
      </w:r>
      <w:proofErr w:type="spellStart"/>
      <w:r w:rsidRPr="00787EE3">
        <w:rPr>
          <w:rFonts w:ascii="Times New Roman" w:hAnsi="Times New Roman" w:cs="Times New Roman"/>
          <w:sz w:val="24"/>
          <w:szCs w:val="24"/>
        </w:rPr>
        <w:t>Kalser</w:t>
      </w:r>
      <w:proofErr w:type="spellEnd"/>
      <w:r w:rsidRPr="00787EE3">
        <w:rPr>
          <w:rFonts w:ascii="Times New Roman" w:hAnsi="Times New Roman" w:cs="Times New Roman"/>
          <w:sz w:val="24"/>
          <w:szCs w:val="24"/>
        </w:rPr>
        <w:t xml:space="preserve">, paní Magdalena Kletečková, paní Dana </w:t>
      </w:r>
      <w:proofErr w:type="spellStart"/>
      <w:r w:rsidRPr="00787EE3">
        <w:rPr>
          <w:rFonts w:ascii="Times New Roman" w:hAnsi="Times New Roman" w:cs="Times New Roman"/>
          <w:sz w:val="24"/>
          <w:szCs w:val="24"/>
        </w:rPr>
        <w:t>Kotcherová</w:t>
      </w:r>
      <w:proofErr w:type="spellEnd"/>
      <w:r w:rsidRPr="00787EE3">
        <w:rPr>
          <w:rFonts w:ascii="Times New Roman" w:hAnsi="Times New Roman" w:cs="Times New Roman"/>
          <w:sz w:val="24"/>
          <w:szCs w:val="24"/>
        </w:rPr>
        <w:t xml:space="preserve">, Ing. Tomáš Port, pan Jiří Prokop, paní Karolína Ronovská, MUDr. Eva Suchánková, Mgr. Zdeňka Šnajdrová a paní Kateřina Šulcová (příloha č. 2). Řadový třípatrový činžovní dům čp. 256, postavený podle projektu plzeňského stavitele Eduarda </w:t>
      </w:r>
      <w:proofErr w:type="spellStart"/>
      <w:r w:rsidRPr="00787EE3">
        <w:rPr>
          <w:rFonts w:ascii="Times New Roman" w:hAnsi="Times New Roman" w:cs="Times New Roman"/>
          <w:sz w:val="24"/>
          <w:szCs w:val="24"/>
        </w:rPr>
        <w:t>Kroha</w:t>
      </w:r>
      <w:proofErr w:type="spellEnd"/>
      <w:r w:rsidRPr="00787EE3">
        <w:rPr>
          <w:rFonts w:ascii="Times New Roman" w:hAnsi="Times New Roman" w:cs="Times New Roman"/>
          <w:sz w:val="24"/>
          <w:szCs w:val="24"/>
        </w:rPr>
        <w:t xml:space="preserve"> v roce 1893, je jedním z dokladů kvalitní novorenesanční architektury konce 19. století v centru města Plzně. Přední uliční trakt domu s bohatou novorenesanční fasádou řešenou v kombinaci režného zdiva, omítek a barevných sgrafit a s bustami osobností českého veřejného života 19. století, je zastřešený sedlovou střechou členěnou třemi atikovými štíty a zastřešením schodišťového tělesa, krytou překládanou dožívající r</w:t>
      </w:r>
      <w:r w:rsidR="00103D8F" w:rsidRPr="00787EE3">
        <w:rPr>
          <w:rFonts w:ascii="Times New Roman" w:hAnsi="Times New Roman" w:cs="Times New Roman"/>
          <w:sz w:val="24"/>
          <w:szCs w:val="24"/>
        </w:rPr>
        <w:t xml:space="preserve">ežnou pálenou taškou bobrovkou. </w:t>
      </w:r>
      <w:r w:rsidRPr="00787EE3">
        <w:rPr>
          <w:rFonts w:ascii="Times New Roman" w:hAnsi="Times New Roman" w:cs="Times New Roman"/>
          <w:sz w:val="24"/>
          <w:szCs w:val="24"/>
        </w:rPr>
        <w:t>Stav střechy je celkově špatný, původní krovová konstrukce vyžaduje tesařskou opravu a stávající střešní plášť s dožívající režnou pálenou krytinou bobrovkou, který je součástí hodnotného architektonického řešení domu, a zčásti poškozenými klempířskými prvky již neplní svoji funkci. Součástí opravy střechy je kromě tesařské opravy krovu a výměny střešního pláště, též celková výměna klempířských a střešních prvků včetně úpravy vnitřního odvodnění, oprava a úprava komínových těles a oprava omítek půdních prostor. Celkové náklady na realizaci opravy střechy a s tím související práce ve výše uvedeném rozsahu činí 2</w:t>
      </w:r>
      <w:r w:rsidR="00787EE3" w:rsidRPr="00787EE3">
        <w:rPr>
          <w:rFonts w:ascii="Times New Roman" w:hAnsi="Times New Roman" w:cs="Times New Roman"/>
          <w:sz w:val="24"/>
          <w:szCs w:val="24"/>
        </w:rPr>
        <w:t xml:space="preserve"> </w:t>
      </w:r>
      <w:r w:rsidRPr="00787EE3">
        <w:rPr>
          <w:rFonts w:ascii="Times New Roman" w:hAnsi="Times New Roman" w:cs="Times New Roman"/>
          <w:sz w:val="24"/>
          <w:szCs w:val="24"/>
        </w:rPr>
        <w:t xml:space="preserve">000 922,375 Kč (příloha č. 3). </w:t>
      </w:r>
    </w:p>
    <w:p w:rsidR="00787EE3" w:rsidRDefault="002110B0" w:rsidP="00787EE3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7EE3">
        <w:rPr>
          <w:rFonts w:ascii="Times New Roman" w:hAnsi="Times New Roman" w:cs="Times New Roman"/>
          <w:sz w:val="24"/>
          <w:szCs w:val="24"/>
        </w:rPr>
        <w:t xml:space="preserve">Protože provedením opravy střechy předního uličního traktu domu jde o důvodný případ, kdy poskytnutím dotace dojde k záchraně poškozených částí kulturní památky, obrátil se vlastník na Odbor památkové péče Magistrátu města Plzně (dále jen OPP MMP) s žádostí o možnou finanční podporu. </w:t>
      </w:r>
    </w:p>
    <w:p w:rsidR="00B6223B" w:rsidRPr="00787EE3" w:rsidRDefault="00787EE3" w:rsidP="00F4363B">
      <w:pPr>
        <w:jc w:val="both"/>
      </w:pPr>
      <w:r>
        <w:br w:type="page"/>
      </w:r>
      <w:r w:rsidR="002110B0" w:rsidRPr="00787EE3">
        <w:rPr>
          <w:rFonts w:ascii="Times New Roman" w:hAnsi="Times New Roman" w:cs="Times New Roman"/>
          <w:sz w:val="24"/>
          <w:szCs w:val="24"/>
        </w:rPr>
        <w:lastRenderedPageBreak/>
        <w:t>Vzhledem k tomu, že dům čp. 256, Solní 19 v Plzni j</w:t>
      </w:r>
      <w:r>
        <w:rPr>
          <w:rFonts w:ascii="Times New Roman" w:hAnsi="Times New Roman" w:cs="Times New Roman"/>
          <w:sz w:val="24"/>
          <w:szCs w:val="24"/>
        </w:rPr>
        <w:t xml:space="preserve">e nemovitou kulturní památkou, může </w:t>
      </w:r>
      <w:r w:rsidR="002110B0" w:rsidRPr="00787EE3">
        <w:rPr>
          <w:rFonts w:ascii="Times New Roman" w:hAnsi="Times New Roman" w:cs="Times New Roman"/>
          <w:sz w:val="24"/>
          <w:szCs w:val="24"/>
        </w:rPr>
        <w:t xml:space="preserve">obec v souladu s § 16 odst. 1 zák. č. 20/1987 Sb., o státní památkové péči, ve </w:t>
      </w:r>
      <w:r>
        <w:rPr>
          <w:rFonts w:ascii="Times New Roman" w:hAnsi="Times New Roman" w:cs="Times New Roman"/>
          <w:sz w:val="24"/>
          <w:szCs w:val="24"/>
        </w:rPr>
        <w:t xml:space="preserve">znění pozdějších předpisů, </w:t>
      </w:r>
      <w:r w:rsidR="002110B0" w:rsidRPr="00787EE3">
        <w:rPr>
          <w:rFonts w:ascii="Times New Roman" w:hAnsi="Times New Roman" w:cs="Times New Roman"/>
          <w:sz w:val="24"/>
          <w:szCs w:val="24"/>
        </w:rPr>
        <w:t>v odůvodněných případech poskytnout příspěvek na zvýšené náklady spojené se zachováním a obnovou památky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496"/>
        <w:gridCol w:w="3250"/>
        <w:gridCol w:w="900"/>
        <w:gridCol w:w="917"/>
        <w:gridCol w:w="940"/>
        <w:gridCol w:w="920"/>
        <w:gridCol w:w="760"/>
      </w:tblGrid>
      <w:tr w:rsidR="002110B0" w:rsidRPr="002110B0" w:rsidTr="002110B0">
        <w:trPr>
          <w:trHeight w:val="255"/>
        </w:trPr>
        <w:tc>
          <w:tcPr>
            <w:tcW w:w="898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110B0" w:rsidRPr="002110B0" w:rsidRDefault="002110B0" w:rsidP="00211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110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Souhrn za 1164929 - Olga Roubíková</w:t>
            </w:r>
          </w:p>
        </w:tc>
      </w:tr>
      <w:tr w:rsidR="002110B0" w:rsidRPr="002110B0" w:rsidTr="002110B0">
        <w:trPr>
          <w:trHeight w:val="225"/>
        </w:trPr>
        <w:tc>
          <w:tcPr>
            <w:tcW w:w="8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110B0" w:rsidRPr="002110B0" w:rsidRDefault="002110B0" w:rsidP="00211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110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110B0" w:rsidRPr="002110B0" w:rsidRDefault="002110B0" w:rsidP="00211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110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110B0" w:rsidRPr="002110B0" w:rsidRDefault="002110B0" w:rsidP="00211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110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110B0" w:rsidRPr="002110B0" w:rsidRDefault="002110B0" w:rsidP="00211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110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Kázeň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110B0" w:rsidRPr="002110B0" w:rsidRDefault="002110B0" w:rsidP="00211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110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110B0" w:rsidRPr="002110B0" w:rsidRDefault="002110B0" w:rsidP="00211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110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110B0" w:rsidRPr="002110B0" w:rsidRDefault="002110B0" w:rsidP="00211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110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110B0" w:rsidRPr="002110B0" w:rsidRDefault="002110B0" w:rsidP="00211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110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</w:tr>
      <w:tr w:rsidR="002110B0" w:rsidRPr="002110B0" w:rsidTr="002110B0">
        <w:trPr>
          <w:trHeight w:val="240"/>
        </w:trPr>
        <w:tc>
          <w:tcPr>
            <w:tcW w:w="8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110B0" w:rsidRPr="002110B0" w:rsidRDefault="002110B0" w:rsidP="00211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110B0" w:rsidRPr="002110B0" w:rsidRDefault="002110B0" w:rsidP="00211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110B0" w:rsidRPr="002110B0" w:rsidRDefault="002110B0" w:rsidP="00211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110B0" w:rsidRPr="002110B0" w:rsidRDefault="002110B0" w:rsidP="00211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110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porušená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110B0" w:rsidRPr="002110B0" w:rsidRDefault="002110B0" w:rsidP="00211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110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žádosti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110B0" w:rsidRPr="002110B0" w:rsidRDefault="002110B0" w:rsidP="00211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110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schválená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110B0" w:rsidRPr="002110B0" w:rsidRDefault="002110B0" w:rsidP="00211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110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110B0" w:rsidRPr="002110B0" w:rsidRDefault="002110B0" w:rsidP="00211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110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vrácená</w:t>
            </w:r>
          </w:p>
        </w:tc>
      </w:tr>
      <w:tr w:rsidR="002110B0" w:rsidRPr="002110B0" w:rsidTr="002110B0">
        <w:trPr>
          <w:trHeight w:val="240"/>
        </w:trPr>
        <w:tc>
          <w:tcPr>
            <w:tcW w:w="544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110B0" w:rsidRPr="002110B0" w:rsidRDefault="002110B0" w:rsidP="002110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110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110B0" w:rsidRPr="002110B0" w:rsidRDefault="002110B0" w:rsidP="002110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110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110B0" w:rsidRPr="002110B0" w:rsidRDefault="002110B0" w:rsidP="002110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110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110B0" w:rsidRPr="002110B0" w:rsidRDefault="002110B0" w:rsidP="002110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110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110B0" w:rsidRPr="002110B0" w:rsidRDefault="002110B0" w:rsidP="002110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110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2110B0" w:rsidRPr="002110B0" w:rsidTr="002110B0">
        <w:trPr>
          <w:trHeight w:val="240"/>
        </w:trPr>
        <w:tc>
          <w:tcPr>
            <w:tcW w:w="8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110B0" w:rsidRPr="002110B0" w:rsidRDefault="002110B0" w:rsidP="00211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10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MMP-OPP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110B0" w:rsidRPr="002110B0" w:rsidRDefault="002110B0" w:rsidP="00211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10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110B0" w:rsidRPr="002110B0" w:rsidRDefault="002110B0" w:rsidP="00211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10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Oprava střechy objektu Solní 256/19, Plzeň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110B0" w:rsidRPr="002110B0" w:rsidRDefault="002110B0" w:rsidP="00211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10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110B0" w:rsidRPr="002110B0" w:rsidRDefault="002110B0" w:rsidP="00211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10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110B0" w:rsidRPr="002110B0" w:rsidRDefault="002110B0" w:rsidP="00211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10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110B0" w:rsidRPr="002110B0" w:rsidRDefault="002110B0" w:rsidP="00211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10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110B0" w:rsidRPr="002110B0" w:rsidRDefault="002110B0" w:rsidP="00211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10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2110B0" w:rsidRPr="002110B0" w:rsidTr="002110B0">
        <w:trPr>
          <w:trHeight w:val="240"/>
        </w:trPr>
        <w:tc>
          <w:tcPr>
            <w:tcW w:w="544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110B0" w:rsidRPr="002110B0" w:rsidRDefault="002110B0" w:rsidP="002110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110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110B0" w:rsidRPr="002110B0" w:rsidRDefault="002110B0" w:rsidP="002110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110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300 000,00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110B0" w:rsidRPr="002110B0" w:rsidRDefault="002110B0" w:rsidP="002110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110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110B0" w:rsidRPr="002110B0" w:rsidRDefault="002110B0" w:rsidP="002110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110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110B0" w:rsidRPr="002110B0" w:rsidRDefault="002110B0" w:rsidP="002110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110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2110B0" w:rsidRPr="002110B0" w:rsidTr="002110B0">
        <w:trPr>
          <w:trHeight w:val="240"/>
        </w:trPr>
        <w:tc>
          <w:tcPr>
            <w:tcW w:w="8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110B0" w:rsidRPr="002110B0" w:rsidRDefault="002110B0" w:rsidP="00211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10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MMP-OPP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110B0" w:rsidRPr="002110B0" w:rsidRDefault="002110B0" w:rsidP="00211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10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110B0" w:rsidRPr="002110B0" w:rsidRDefault="002110B0" w:rsidP="00211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10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Oprava střechy objektu Solní 256/19, Plzeň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110B0" w:rsidRPr="002110B0" w:rsidRDefault="002110B0" w:rsidP="00211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10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110B0" w:rsidRPr="002110B0" w:rsidRDefault="002110B0" w:rsidP="00211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10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110B0" w:rsidRPr="002110B0" w:rsidRDefault="002110B0" w:rsidP="00211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10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110B0" w:rsidRPr="002110B0" w:rsidRDefault="002110B0" w:rsidP="00211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10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110B0" w:rsidRPr="002110B0" w:rsidRDefault="002110B0" w:rsidP="00211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10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2110B0" w:rsidRPr="002110B0" w:rsidTr="002110B0">
        <w:trPr>
          <w:trHeight w:val="240"/>
        </w:trPr>
        <w:tc>
          <w:tcPr>
            <w:tcW w:w="544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110B0" w:rsidRPr="002110B0" w:rsidRDefault="002110B0" w:rsidP="002110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110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110B0" w:rsidRPr="002110B0" w:rsidRDefault="002110B0" w:rsidP="002110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110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300 000,00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110B0" w:rsidRPr="002110B0" w:rsidRDefault="002110B0" w:rsidP="002110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110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110B0" w:rsidRPr="002110B0" w:rsidRDefault="002110B0" w:rsidP="002110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110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110B0" w:rsidRPr="002110B0" w:rsidRDefault="002110B0" w:rsidP="002110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110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2110B0" w:rsidRPr="002110B0" w:rsidTr="002110B0">
        <w:trPr>
          <w:trHeight w:val="240"/>
        </w:trPr>
        <w:tc>
          <w:tcPr>
            <w:tcW w:w="544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110B0" w:rsidRPr="002110B0" w:rsidRDefault="002110B0" w:rsidP="002110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110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2018 - 2020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110B0" w:rsidRPr="002110B0" w:rsidRDefault="002110B0" w:rsidP="002110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110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600 000,00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110B0" w:rsidRPr="002110B0" w:rsidRDefault="002110B0" w:rsidP="002110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110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110B0" w:rsidRPr="002110B0" w:rsidRDefault="002110B0" w:rsidP="002110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110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110B0" w:rsidRPr="002110B0" w:rsidRDefault="002110B0" w:rsidP="002110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110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</w:tbl>
    <w:p w:rsidR="00103D8F" w:rsidRDefault="00103D8F" w:rsidP="00103D8F">
      <w:pPr>
        <w:pStyle w:val="Odstavecseseznamem"/>
        <w:keepNext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F4363B" w:rsidRDefault="00F4363B" w:rsidP="00F4363B">
      <w:pPr>
        <w:pStyle w:val="Odstavecseseznamem"/>
        <w:keepNext/>
        <w:numPr>
          <w:ilvl w:val="0"/>
          <w:numId w:val="1"/>
        </w:numPr>
        <w:ind w:left="0" w:hanging="357"/>
        <w:rPr>
          <w:rFonts w:ascii="Times New Roman" w:hAnsi="Times New Roman" w:cs="Times New Roman"/>
          <w:b/>
          <w:sz w:val="24"/>
          <w:szCs w:val="24"/>
        </w:rPr>
      </w:pPr>
      <w:r w:rsidRPr="00787EE3">
        <w:rPr>
          <w:rFonts w:ascii="Times New Roman" w:hAnsi="Times New Roman" w:cs="Times New Roman"/>
          <w:b/>
          <w:sz w:val="24"/>
          <w:szCs w:val="24"/>
        </w:rPr>
        <w:t>Předpokládaný cílový stav</w:t>
      </w:r>
    </w:p>
    <w:p w:rsidR="008927B7" w:rsidRPr="00F4363B" w:rsidRDefault="00AA3F1B" w:rsidP="00F4363B">
      <w:pPr>
        <w:pStyle w:val="Odstavecseseznamem"/>
        <w:keepNext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63B">
        <w:rPr>
          <w:rFonts w:ascii="Times New Roman" w:hAnsi="Times New Roman" w:cs="Times New Roman"/>
          <w:sz w:val="24"/>
          <w:szCs w:val="24"/>
        </w:rPr>
        <w:t>Provedení tesařské opravy krovu a nákupu a pokládky režné pálené taškové krytiny bobrovky v rámci opravy střechy předního uličního traktu objektu k by</w:t>
      </w:r>
      <w:r w:rsidR="00103D8F" w:rsidRPr="00F4363B">
        <w:rPr>
          <w:rFonts w:ascii="Times New Roman" w:hAnsi="Times New Roman" w:cs="Times New Roman"/>
          <w:sz w:val="24"/>
          <w:szCs w:val="24"/>
        </w:rPr>
        <w:t>dlení čp. 256, Solní 19 v Plzni</w:t>
      </w:r>
      <w:r w:rsidRPr="00F4363B">
        <w:rPr>
          <w:rFonts w:ascii="Times New Roman" w:hAnsi="Times New Roman" w:cs="Times New Roman"/>
          <w:sz w:val="24"/>
          <w:szCs w:val="24"/>
        </w:rPr>
        <w:t xml:space="preserve"> umožní dosažení dobrého technického </w:t>
      </w:r>
      <w:r w:rsidR="00103D8F" w:rsidRPr="00F4363B">
        <w:rPr>
          <w:rFonts w:ascii="Times New Roman" w:hAnsi="Times New Roman" w:cs="Times New Roman"/>
          <w:sz w:val="24"/>
          <w:szCs w:val="24"/>
        </w:rPr>
        <w:t>stavu a plné funkčnosti střechy</w:t>
      </w:r>
      <w:r w:rsidRPr="00F4363B">
        <w:rPr>
          <w:rFonts w:ascii="Times New Roman" w:hAnsi="Times New Roman" w:cs="Times New Roman"/>
          <w:sz w:val="24"/>
          <w:szCs w:val="24"/>
        </w:rPr>
        <w:t xml:space="preserve"> při zachování historické krovové konstrukce a za použití střešní krytiny, která je v souladu s architektonickou a historickou hodnotou kulturní památky.</w:t>
      </w:r>
    </w:p>
    <w:p w:rsidR="00AA3F1B" w:rsidRPr="00787EE3" w:rsidRDefault="00AA3F1B" w:rsidP="00AA3F1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4363B" w:rsidRDefault="00F4363B" w:rsidP="00F4363B">
      <w:pPr>
        <w:pStyle w:val="Odstavecseseznamem"/>
        <w:numPr>
          <w:ilvl w:val="0"/>
          <w:numId w:val="1"/>
        </w:numPr>
        <w:ind w:left="0" w:hanging="357"/>
        <w:rPr>
          <w:rFonts w:ascii="Times New Roman" w:hAnsi="Times New Roman" w:cs="Times New Roman"/>
          <w:b/>
          <w:sz w:val="24"/>
          <w:szCs w:val="24"/>
        </w:rPr>
      </w:pPr>
      <w:r w:rsidRPr="00787EE3">
        <w:rPr>
          <w:rFonts w:ascii="Times New Roman" w:hAnsi="Times New Roman" w:cs="Times New Roman"/>
          <w:b/>
          <w:sz w:val="24"/>
          <w:szCs w:val="24"/>
        </w:rPr>
        <w:t>Navrhované varianty řešení</w:t>
      </w:r>
    </w:p>
    <w:p w:rsidR="00787EE3" w:rsidRPr="00F4363B" w:rsidRDefault="00987927" w:rsidP="00F4363B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63B">
        <w:rPr>
          <w:rFonts w:ascii="Times New Roman" w:hAnsi="Times New Roman" w:cs="Times New Roman"/>
          <w:sz w:val="24"/>
          <w:szCs w:val="24"/>
        </w:rPr>
        <w:t>Poskytnutí účelově podmíněné dotace v rá</w:t>
      </w:r>
      <w:r w:rsidR="00103D8F" w:rsidRPr="00F4363B">
        <w:rPr>
          <w:rFonts w:ascii="Times New Roman" w:hAnsi="Times New Roman" w:cs="Times New Roman"/>
          <w:sz w:val="24"/>
          <w:szCs w:val="24"/>
        </w:rPr>
        <w:t xml:space="preserve">mci rozpočtu OPP MMP na rok 2020 – provozní transfery jiným organizacím a veřejným rozpočtům </w:t>
      </w:r>
      <w:r w:rsidRPr="00F4363B">
        <w:rPr>
          <w:rFonts w:ascii="Times New Roman" w:hAnsi="Times New Roman" w:cs="Times New Roman"/>
          <w:sz w:val="24"/>
          <w:szCs w:val="24"/>
        </w:rPr>
        <w:t xml:space="preserve">ve výši </w:t>
      </w:r>
      <w:r w:rsidR="00103D8F" w:rsidRPr="00F4363B">
        <w:rPr>
          <w:rFonts w:ascii="Times New Roman" w:hAnsi="Times New Roman" w:cs="Times New Roman"/>
          <w:sz w:val="24"/>
          <w:szCs w:val="24"/>
        </w:rPr>
        <w:t>3</w:t>
      </w:r>
      <w:r w:rsidRPr="00F4363B">
        <w:rPr>
          <w:rFonts w:ascii="Times New Roman" w:hAnsi="Times New Roman" w:cs="Times New Roman"/>
          <w:sz w:val="24"/>
          <w:szCs w:val="24"/>
        </w:rPr>
        <w:t xml:space="preserve">00 000 Kč na provedení </w:t>
      </w:r>
      <w:r w:rsidR="00103D8F" w:rsidRPr="00F4363B">
        <w:rPr>
          <w:rFonts w:ascii="Times New Roman" w:hAnsi="Times New Roman" w:cs="Times New Roman"/>
          <w:sz w:val="24"/>
          <w:szCs w:val="24"/>
        </w:rPr>
        <w:t>opravy střechy v</w:t>
      </w:r>
      <w:r w:rsidRPr="00F4363B">
        <w:rPr>
          <w:rFonts w:ascii="Times New Roman" w:hAnsi="Times New Roman" w:cs="Times New Roman"/>
          <w:sz w:val="24"/>
          <w:szCs w:val="24"/>
        </w:rPr>
        <w:t xml:space="preserve"> </w:t>
      </w:r>
      <w:r w:rsidR="00103D8F" w:rsidRPr="00F4363B">
        <w:rPr>
          <w:rFonts w:ascii="Times New Roman" w:hAnsi="Times New Roman" w:cs="Times New Roman"/>
          <w:sz w:val="24"/>
          <w:szCs w:val="24"/>
        </w:rPr>
        <w:t>domě čp. 256, Solní 19 v Plzni</w:t>
      </w:r>
      <w:r w:rsidRPr="00F4363B">
        <w:rPr>
          <w:rFonts w:ascii="Times New Roman" w:hAnsi="Times New Roman" w:cs="Times New Roman"/>
          <w:sz w:val="24"/>
          <w:szCs w:val="24"/>
        </w:rPr>
        <w:t xml:space="preserve"> a uzavření</w:t>
      </w:r>
      <w:r w:rsidR="00103D8F" w:rsidRPr="00F4363B">
        <w:rPr>
          <w:rFonts w:ascii="Times New Roman" w:hAnsi="Times New Roman" w:cs="Times New Roman"/>
          <w:sz w:val="24"/>
          <w:szCs w:val="24"/>
        </w:rPr>
        <w:t xml:space="preserve"> veřejnoprávní smlouvy s paní Miroslavou Chalupovou, Bc. Markem Čejkou, Bc. Janem </w:t>
      </w:r>
      <w:proofErr w:type="spellStart"/>
      <w:r w:rsidR="00103D8F" w:rsidRPr="00F4363B">
        <w:rPr>
          <w:rFonts w:ascii="Times New Roman" w:hAnsi="Times New Roman" w:cs="Times New Roman"/>
          <w:sz w:val="24"/>
          <w:szCs w:val="24"/>
        </w:rPr>
        <w:t>Ficenecem</w:t>
      </w:r>
      <w:proofErr w:type="spellEnd"/>
      <w:r w:rsidR="00103D8F" w:rsidRPr="00F4363B">
        <w:rPr>
          <w:rFonts w:ascii="Times New Roman" w:hAnsi="Times New Roman" w:cs="Times New Roman"/>
          <w:sz w:val="24"/>
          <w:szCs w:val="24"/>
        </w:rPr>
        <w:t xml:space="preserve">, panem Vratislavem </w:t>
      </w:r>
      <w:proofErr w:type="spellStart"/>
      <w:r w:rsidR="00103D8F" w:rsidRPr="00F4363B">
        <w:rPr>
          <w:rFonts w:ascii="Times New Roman" w:hAnsi="Times New Roman" w:cs="Times New Roman"/>
          <w:sz w:val="24"/>
          <w:szCs w:val="24"/>
        </w:rPr>
        <w:t>Henžlíkem</w:t>
      </w:r>
      <w:proofErr w:type="spellEnd"/>
      <w:r w:rsidR="00103D8F" w:rsidRPr="00F4363B">
        <w:rPr>
          <w:rFonts w:ascii="Times New Roman" w:hAnsi="Times New Roman" w:cs="Times New Roman"/>
          <w:sz w:val="24"/>
          <w:szCs w:val="24"/>
        </w:rPr>
        <w:t xml:space="preserve"> a Ing. Evou </w:t>
      </w:r>
      <w:proofErr w:type="spellStart"/>
      <w:r w:rsidR="00103D8F" w:rsidRPr="00F4363B">
        <w:rPr>
          <w:rFonts w:ascii="Times New Roman" w:hAnsi="Times New Roman" w:cs="Times New Roman"/>
          <w:sz w:val="24"/>
          <w:szCs w:val="24"/>
        </w:rPr>
        <w:t>Henžlíkovou</w:t>
      </w:r>
      <w:proofErr w:type="spellEnd"/>
      <w:r w:rsidR="00103D8F" w:rsidRPr="00F4363B">
        <w:rPr>
          <w:rFonts w:ascii="Times New Roman" w:hAnsi="Times New Roman" w:cs="Times New Roman"/>
          <w:sz w:val="24"/>
          <w:szCs w:val="24"/>
        </w:rPr>
        <w:t xml:space="preserve">, paní Zuzanou Hrobařovou, panem Ivanem Kalinou, panem Janem </w:t>
      </w:r>
      <w:proofErr w:type="spellStart"/>
      <w:r w:rsidR="00103D8F" w:rsidRPr="00F4363B">
        <w:rPr>
          <w:rFonts w:ascii="Times New Roman" w:hAnsi="Times New Roman" w:cs="Times New Roman"/>
          <w:sz w:val="24"/>
          <w:szCs w:val="24"/>
        </w:rPr>
        <w:t>Kalserem</w:t>
      </w:r>
      <w:proofErr w:type="spellEnd"/>
      <w:r w:rsidR="00103D8F" w:rsidRPr="00F4363B">
        <w:rPr>
          <w:rFonts w:ascii="Times New Roman" w:hAnsi="Times New Roman" w:cs="Times New Roman"/>
          <w:sz w:val="24"/>
          <w:szCs w:val="24"/>
        </w:rPr>
        <w:t xml:space="preserve">, panem Vratislavem </w:t>
      </w:r>
      <w:proofErr w:type="spellStart"/>
      <w:r w:rsidR="00103D8F" w:rsidRPr="00F4363B">
        <w:rPr>
          <w:rFonts w:ascii="Times New Roman" w:hAnsi="Times New Roman" w:cs="Times New Roman"/>
          <w:sz w:val="24"/>
          <w:szCs w:val="24"/>
        </w:rPr>
        <w:t>Kalserem</w:t>
      </w:r>
      <w:proofErr w:type="spellEnd"/>
      <w:r w:rsidR="00103D8F" w:rsidRPr="00F4363B">
        <w:rPr>
          <w:rFonts w:ascii="Times New Roman" w:hAnsi="Times New Roman" w:cs="Times New Roman"/>
          <w:sz w:val="24"/>
          <w:szCs w:val="24"/>
        </w:rPr>
        <w:t xml:space="preserve">, paní Magdalenou Kletečkovou, paní Danou </w:t>
      </w:r>
      <w:proofErr w:type="spellStart"/>
      <w:r w:rsidR="00103D8F" w:rsidRPr="00F4363B">
        <w:rPr>
          <w:rFonts w:ascii="Times New Roman" w:hAnsi="Times New Roman" w:cs="Times New Roman"/>
          <w:sz w:val="24"/>
          <w:szCs w:val="24"/>
        </w:rPr>
        <w:t>Kotcherovou</w:t>
      </w:r>
      <w:proofErr w:type="spellEnd"/>
      <w:r w:rsidR="00103D8F" w:rsidRPr="00F4363B">
        <w:rPr>
          <w:rFonts w:ascii="Times New Roman" w:hAnsi="Times New Roman" w:cs="Times New Roman"/>
          <w:sz w:val="24"/>
          <w:szCs w:val="24"/>
        </w:rPr>
        <w:t xml:space="preserve">, Ing. Tomášem Portem, panem Jiřím Prokopem, paní Karolínou Ronovskou, MUDr. Evou Suchánkovou, Mgr. Zdeňkou Šnajdrovou a paní Kateřinou Šulcovou. </w:t>
      </w:r>
      <w:r w:rsidR="00485642" w:rsidRPr="00F4363B">
        <w:rPr>
          <w:rFonts w:ascii="Times New Roman" w:hAnsi="Times New Roman" w:cs="Times New Roman"/>
          <w:sz w:val="24"/>
          <w:szCs w:val="24"/>
        </w:rPr>
        <w:t xml:space="preserve">Při stanovení výše návrhu dotace OPP MMP vzal v úvahu zejména stupeň poškození střechy kulturní památky a naléhavost provedení zamýšlené opravy tak, aby byla zajištěna odpovídající ochrana památkových hodnot této cenné kulturní památky do budoucna, která je reprezentantem architektury plzeňské neorenesance. </w:t>
      </w:r>
      <w:r w:rsidRPr="00F4363B">
        <w:rPr>
          <w:rFonts w:ascii="Times New Roman" w:hAnsi="Times New Roman" w:cs="Times New Roman"/>
          <w:sz w:val="24"/>
          <w:szCs w:val="24"/>
        </w:rPr>
        <w:t>V případě, že smlouva nebude ze strany příjemce dotace podepsána nejdéle do 2 měsíců ode dne doručení výzvy k</w:t>
      </w:r>
      <w:r w:rsidR="00787EE3" w:rsidRPr="00F4363B">
        <w:rPr>
          <w:rFonts w:ascii="Times New Roman" w:hAnsi="Times New Roman" w:cs="Times New Roman"/>
          <w:sz w:val="24"/>
          <w:szCs w:val="24"/>
        </w:rPr>
        <w:t> </w:t>
      </w:r>
      <w:r w:rsidRPr="00F4363B">
        <w:rPr>
          <w:rFonts w:ascii="Times New Roman" w:hAnsi="Times New Roman" w:cs="Times New Roman"/>
          <w:sz w:val="24"/>
          <w:szCs w:val="24"/>
        </w:rPr>
        <w:t>podpisu smlouvy na</w:t>
      </w:r>
      <w:r w:rsidR="004404A4" w:rsidRPr="00F4363B">
        <w:rPr>
          <w:rFonts w:ascii="Times New Roman" w:hAnsi="Times New Roman" w:cs="Times New Roman"/>
          <w:sz w:val="24"/>
          <w:szCs w:val="24"/>
        </w:rPr>
        <w:t xml:space="preserve"> kontaktní poštovní/e-mailovou </w:t>
      </w:r>
      <w:r w:rsidRPr="00F4363B">
        <w:rPr>
          <w:rFonts w:ascii="Times New Roman" w:hAnsi="Times New Roman" w:cs="Times New Roman"/>
          <w:sz w:val="24"/>
          <w:szCs w:val="24"/>
        </w:rPr>
        <w:t>adresu, usnesení vůči příjemci dotace pozbývá účinnosti.</w:t>
      </w:r>
    </w:p>
    <w:p w:rsidR="00787EE3" w:rsidRDefault="00787EE3" w:rsidP="00787EE3">
      <w:r>
        <w:br w:type="page"/>
      </w:r>
    </w:p>
    <w:p w:rsidR="00F4363B" w:rsidRDefault="00F4363B" w:rsidP="00A148AB">
      <w:pPr>
        <w:pStyle w:val="Odstavecseseznamem"/>
        <w:numPr>
          <w:ilvl w:val="0"/>
          <w:numId w:val="1"/>
        </w:numPr>
        <w:ind w:left="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EE3">
        <w:rPr>
          <w:rFonts w:ascii="Times New Roman" w:hAnsi="Times New Roman" w:cs="Times New Roman"/>
          <w:b/>
          <w:sz w:val="24"/>
          <w:szCs w:val="24"/>
        </w:rPr>
        <w:lastRenderedPageBreak/>
        <w:t>Doporučená varianta řešení</w:t>
      </w:r>
    </w:p>
    <w:p w:rsidR="00F4363B" w:rsidRPr="00E76CFA" w:rsidRDefault="00F4363B" w:rsidP="00A148AB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CFA">
        <w:rPr>
          <w:rFonts w:ascii="Times New Roman" w:hAnsi="Times New Roman" w:cs="Times New Roman"/>
          <w:sz w:val="24"/>
          <w:szCs w:val="24"/>
        </w:rPr>
        <w:t>Doporučená varianta je uvedena v bodě 4.</w:t>
      </w:r>
    </w:p>
    <w:p w:rsidR="00F4363B" w:rsidRPr="00787EE3" w:rsidRDefault="00F4363B" w:rsidP="00A148A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4363B" w:rsidRDefault="00F4363B" w:rsidP="00A148AB">
      <w:pPr>
        <w:pStyle w:val="Odstavecseseznamem"/>
        <w:keepNext/>
        <w:numPr>
          <w:ilvl w:val="0"/>
          <w:numId w:val="1"/>
        </w:numPr>
        <w:ind w:left="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EE3">
        <w:rPr>
          <w:rFonts w:ascii="Times New Roman" w:hAnsi="Times New Roman" w:cs="Times New Roman"/>
          <w:b/>
          <w:sz w:val="24"/>
          <w:szCs w:val="24"/>
        </w:rPr>
        <w:t>Finanční nároky řešení a možnost finančního krytí (včetně všech následných například provozních nákladů)</w:t>
      </w:r>
    </w:p>
    <w:p w:rsidR="00F4363B" w:rsidRPr="00E76CFA" w:rsidRDefault="00F4363B" w:rsidP="00A148AB">
      <w:pPr>
        <w:pStyle w:val="Odstavecseseznamem"/>
        <w:keepNext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CFA">
        <w:rPr>
          <w:rFonts w:ascii="Times New Roman" w:hAnsi="Times New Roman" w:cs="Times New Roman"/>
          <w:sz w:val="24"/>
          <w:szCs w:val="24"/>
        </w:rPr>
        <w:t>Finanční krytí je zajištěno v rámci objemu schváleného rozpočtu OPP MMP pro rok 2020.</w:t>
      </w:r>
    </w:p>
    <w:p w:rsidR="00F4363B" w:rsidRPr="00787EE3" w:rsidRDefault="00F4363B" w:rsidP="00A148A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4363B" w:rsidRDefault="00F4363B" w:rsidP="00A148AB">
      <w:pPr>
        <w:pStyle w:val="Odstavecseseznamem"/>
        <w:numPr>
          <w:ilvl w:val="0"/>
          <w:numId w:val="1"/>
        </w:numPr>
        <w:ind w:left="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EE3">
        <w:rPr>
          <w:rFonts w:ascii="Times New Roman" w:hAnsi="Times New Roman" w:cs="Times New Roman"/>
          <w:b/>
          <w:sz w:val="24"/>
          <w:szCs w:val="24"/>
        </w:rPr>
        <w:t>Návrh termínů realizace a určení zodpovědných pracovníků</w:t>
      </w:r>
    </w:p>
    <w:p w:rsidR="008927B7" w:rsidRPr="00F4363B" w:rsidRDefault="00F4363B" w:rsidP="00A148AB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63B">
        <w:rPr>
          <w:rFonts w:ascii="Times New Roman" w:hAnsi="Times New Roman" w:cs="Times New Roman"/>
          <w:sz w:val="24"/>
          <w:szCs w:val="24"/>
        </w:rPr>
        <w:t>Podle návrhu usnesení – ukládací část.</w:t>
      </w:r>
    </w:p>
    <w:p w:rsidR="00F4363B" w:rsidRPr="00787EE3" w:rsidRDefault="00F4363B" w:rsidP="00A148AB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63B" w:rsidRDefault="00F4363B" w:rsidP="00A148AB">
      <w:pPr>
        <w:pStyle w:val="Odstavecseseznamem"/>
        <w:numPr>
          <w:ilvl w:val="0"/>
          <w:numId w:val="1"/>
        </w:numPr>
        <w:ind w:left="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EE3">
        <w:rPr>
          <w:rFonts w:ascii="Times New Roman" w:hAnsi="Times New Roman" w:cs="Times New Roman"/>
          <w:b/>
          <w:sz w:val="24"/>
          <w:szCs w:val="24"/>
        </w:rPr>
        <w:t>Dříve vydaná usnesení orgánů města nebo městských obvodů, která s tímto návrhem souvisí</w:t>
      </w:r>
    </w:p>
    <w:p w:rsidR="00F4363B" w:rsidRDefault="00485642" w:rsidP="00A148A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363B">
        <w:rPr>
          <w:rFonts w:ascii="Times New Roman" w:hAnsi="Times New Roman" w:cs="Times New Roman"/>
          <w:sz w:val="24"/>
          <w:szCs w:val="24"/>
        </w:rPr>
        <w:t xml:space="preserve">Usnesení ZMP č. 481 z 9. 12. 2019 – schválení </w:t>
      </w:r>
      <w:r w:rsidR="00AB1AEB">
        <w:rPr>
          <w:rFonts w:ascii="Times New Roman" w:hAnsi="Times New Roman" w:cs="Times New Roman"/>
          <w:sz w:val="24"/>
          <w:szCs w:val="24"/>
        </w:rPr>
        <w:t>rozpočtu města na rok 2020</w:t>
      </w:r>
    </w:p>
    <w:p w:rsidR="00485642" w:rsidRDefault="006B06E3" w:rsidP="00A148AB">
      <w:pPr>
        <w:pStyle w:val="Odstavecseseznamem"/>
        <w:ind w:left="0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9" w:history="1">
        <w:r w:rsidR="00485642" w:rsidRPr="00F4363B">
          <w:rPr>
            <w:rStyle w:val="Hypertextovodkaz"/>
            <w:rFonts w:ascii="Times New Roman" w:hAnsi="Times New Roman" w:cs="Times New Roman"/>
            <w:sz w:val="24"/>
            <w:szCs w:val="24"/>
          </w:rPr>
          <w:t>https://usneseni.plzen.eu/bin_Soubor.php?id=98685</w:t>
        </w:r>
      </w:hyperlink>
    </w:p>
    <w:p w:rsidR="00CA384A" w:rsidRDefault="00CA384A" w:rsidP="00A148AB">
      <w:pPr>
        <w:pStyle w:val="Odstavecseseznamem"/>
        <w:ind w:left="0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</w:p>
    <w:p w:rsidR="00CA384A" w:rsidRPr="00CA384A" w:rsidRDefault="00CA384A" w:rsidP="00A148AB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84A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Usnesení </w:t>
      </w:r>
      <w:r w:rsidRPr="005A3D2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RMP </w:t>
      </w:r>
      <w:r w:rsidR="005A3D2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č.</w:t>
      </w:r>
      <w:r w:rsidR="006B06E3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329 </w:t>
      </w:r>
      <w:bookmarkStart w:id="0" w:name="_GoBack"/>
      <w:bookmarkEnd w:id="0"/>
      <w:r w:rsidRPr="00CA384A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z 27. 4. 2020 – souhlas s poskytnutím dotace</w:t>
      </w:r>
    </w:p>
    <w:p w:rsidR="008927B7" w:rsidRPr="00787EE3" w:rsidRDefault="008927B7" w:rsidP="00A148AB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63B" w:rsidRDefault="00F4363B" w:rsidP="00A148AB">
      <w:pPr>
        <w:pStyle w:val="Odstavecseseznamem"/>
        <w:numPr>
          <w:ilvl w:val="0"/>
          <w:numId w:val="1"/>
        </w:numPr>
        <w:ind w:left="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EE3">
        <w:rPr>
          <w:rFonts w:ascii="Times New Roman" w:hAnsi="Times New Roman" w:cs="Times New Roman"/>
          <w:b/>
          <w:sz w:val="24"/>
          <w:szCs w:val="24"/>
        </w:rPr>
        <w:t>Závazky či pohledávky vůči městu Plzni</w:t>
      </w:r>
    </w:p>
    <w:p w:rsidR="002C5EA8" w:rsidRDefault="002C5EA8" w:rsidP="00A148A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363B">
        <w:rPr>
          <w:rFonts w:ascii="Times New Roman" w:hAnsi="Times New Roman" w:cs="Times New Roman"/>
          <w:sz w:val="24"/>
          <w:szCs w:val="24"/>
        </w:rPr>
        <w:t>Z dostupných zdrojů bylo zjištěno, že žadatel o poskytnutí dotace nemá vůči městu Plzeň závazky po lhůtě splatnosti.</w:t>
      </w:r>
    </w:p>
    <w:p w:rsidR="00F4363B" w:rsidRPr="00F4363B" w:rsidRDefault="00F4363B" w:rsidP="00A148AB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63B" w:rsidRDefault="00F4363B" w:rsidP="00A148AB">
      <w:pPr>
        <w:pStyle w:val="Odstavecseseznamem"/>
        <w:numPr>
          <w:ilvl w:val="0"/>
          <w:numId w:val="1"/>
        </w:numPr>
        <w:ind w:left="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EE3">
        <w:rPr>
          <w:rFonts w:ascii="Times New Roman" w:hAnsi="Times New Roman" w:cs="Times New Roman"/>
          <w:b/>
          <w:sz w:val="24"/>
          <w:szCs w:val="24"/>
        </w:rPr>
        <w:t>Přílohy</w:t>
      </w:r>
    </w:p>
    <w:p w:rsidR="00F4363B" w:rsidRDefault="002C5EA8" w:rsidP="00A148A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363B">
        <w:rPr>
          <w:rFonts w:ascii="Times New Roman" w:hAnsi="Times New Roman" w:cs="Times New Roman"/>
          <w:sz w:val="24"/>
          <w:szCs w:val="24"/>
        </w:rPr>
        <w:t>Příloha č. 1 – fotodokumentace objektu</w:t>
      </w:r>
    </w:p>
    <w:p w:rsidR="00F4363B" w:rsidRDefault="002C5EA8" w:rsidP="00A148A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363B">
        <w:rPr>
          <w:rFonts w:ascii="Times New Roman" w:hAnsi="Times New Roman" w:cs="Times New Roman"/>
          <w:sz w:val="24"/>
          <w:szCs w:val="24"/>
        </w:rPr>
        <w:t>Příloha č. 2 – list vlastnictví</w:t>
      </w:r>
    </w:p>
    <w:p w:rsidR="002C5EA8" w:rsidRPr="00F4363B" w:rsidRDefault="002C5EA8" w:rsidP="00A148AB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63B">
        <w:rPr>
          <w:rFonts w:ascii="Times New Roman" w:hAnsi="Times New Roman" w:cs="Times New Roman"/>
          <w:sz w:val="24"/>
          <w:szCs w:val="24"/>
        </w:rPr>
        <w:t>Příloha č. 3 – rozpočet nákladů</w:t>
      </w:r>
    </w:p>
    <w:p w:rsidR="002C5EA8" w:rsidRPr="00787EE3" w:rsidRDefault="002C5EA8" w:rsidP="00F4363B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C5EA8" w:rsidRPr="00787EE3" w:rsidSect="00EC718C">
      <w:footerReference w:type="default" r:id="rId10"/>
      <w:pgSz w:w="11906" w:h="16838"/>
      <w:pgMar w:top="130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18C" w:rsidRDefault="00EC718C" w:rsidP="00EC718C">
      <w:pPr>
        <w:spacing w:after="0" w:line="240" w:lineRule="auto"/>
      </w:pPr>
      <w:r>
        <w:separator/>
      </w:r>
    </w:p>
  </w:endnote>
  <w:endnote w:type="continuationSeparator" w:id="0">
    <w:p w:rsidR="00EC718C" w:rsidRDefault="00EC718C" w:rsidP="00EC7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745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C718C" w:rsidRPr="00623422" w:rsidRDefault="00EC718C">
        <w:pPr>
          <w:pStyle w:val="Zpat"/>
          <w:jc w:val="center"/>
          <w:rPr>
            <w:rFonts w:ascii="Times New Roman" w:hAnsi="Times New Roman" w:cs="Times New Roman"/>
          </w:rPr>
        </w:pPr>
        <w:r w:rsidRPr="00623422">
          <w:rPr>
            <w:rFonts w:ascii="Times New Roman" w:hAnsi="Times New Roman" w:cs="Times New Roman"/>
          </w:rPr>
          <w:fldChar w:fldCharType="begin"/>
        </w:r>
        <w:r w:rsidRPr="00623422">
          <w:rPr>
            <w:rFonts w:ascii="Times New Roman" w:hAnsi="Times New Roman" w:cs="Times New Roman"/>
          </w:rPr>
          <w:instrText>PAGE   \* MERGEFORMAT</w:instrText>
        </w:r>
        <w:r w:rsidRPr="00623422">
          <w:rPr>
            <w:rFonts w:ascii="Times New Roman" w:hAnsi="Times New Roman" w:cs="Times New Roman"/>
          </w:rPr>
          <w:fldChar w:fldCharType="separate"/>
        </w:r>
        <w:r w:rsidR="006B06E3">
          <w:rPr>
            <w:rFonts w:ascii="Times New Roman" w:hAnsi="Times New Roman" w:cs="Times New Roman"/>
            <w:noProof/>
          </w:rPr>
          <w:t>3</w:t>
        </w:r>
        <w:r w:rsidRPr="00623422">
          <w:rPr>
            <w:rFonts w:ascii="Times New Roman" w:hAnsi="Times New Roman" w:cs="Times New Roman"/>
          </w:rPr>
          <w:fldChar w:fldCharType="end"/>
        </w:r>
      </w:p>
    </w:sdtContent>
  </w:sdt>
  <w:p w:rsidR="00EC718C" w:rsidRDefault="00EC71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18C" w:rsidRDefault="00EC718C" w:rsidP="00EC718C">
      <w:pPr>
        <w:spacing w:after="0" w:line="240" w:lineRule="auto"/>
      </w:pPr>
      <w:r>
        <w:separator/>
      </w:r>
    </w:p>
  </w:footnote>
  <w:footnote w:type="continuationSeparator" w:id="0">
    <w:p w:rsidR="00EC718C" w:rsidRDefault="00EC718C" w:rsidP="00EC7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E9A"/>
    <w:multiLevelType w:val="hybridMultilevel"/>
    <w:tmpl w:val="9FB2EA62"/>
    <w:lvl w:ilvl="0" w:tplc="E9FE6158">
      <w:start w:val="1"/>
      <w:numFmt w:val="ordinal"/>
      <w:lvlText w:val="4.%1 "/>
      <w:lvlJc w:val="left"/>
      <w:pPr>
        <w:ind w:left="1440" w:hanging="360"/>
      </w:pPr>
      <w:rPr>
        <w:rFonts w:hint="default"/>
      </w:rPr>
    </w:lvl>
    <w:lvl w:ilvl="1" w:tplc="E9FE6158">
      <w:start w:val="1"/>
      <w:numFmt w:val="ordinal"/>
      <w:lvlText w:val="4.%2 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0217"/>
    <w:multiLevelType w:val="hybridMultilevel"/>
    <w:tmpl w:val="52BEB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C4C0D1C">
      <w:start w:val="1"/>
      <w:numFmt w:val="decimal"/>
      <w:lvlText w:val="4.%2"/>
      <w:lvlJc w:val="left"/>
      <w:pPr>
        <w:ind w:left="1247" w:hanging="51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F725A"/>
    <w:multiLevelType w:val="hybridMultilevel"/>
    <w:tmpl w:val="877C46C8"/>
    <w:lvl w:ilvl="0" w:tplc="2BDC009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A125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A1930F3"/>
    <w:multiLevelType w:val="hybridMultilevel"/>
    <w:tmpl w:val="9872B752"/>
    <w:lvl w:ilvl="0" w:tplc="4A10B7F8">
      <w:start w:val="1"/>
      <w:numFmt w:val="ordinal"/>
      <w:lvlText w:val="4.%1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A00378"/>
    <w:multiLevelType w:val="multilevel"/>
    <w:tmpl w:val="FA0087A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C1F40B5"/>
    <w:multiLevelType w:val="hybridMultilevel"/>
    <w:tmpl w:val="44526506"/>
    <w:lvl w:ilvl="0" w:tplc="830845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76"/>
    <w:rsid w:val="00050953"/>
    <w:rsid w:val="000B3B20"/>
    <w:rsid w:val="000B7EAF"/>
    <w:rsid w:val="00103D8F"/>
    <w:rsid w:val="001411A7"/>
    <w:rsid w:val="002110B0"/>
    <w:rsid w:val="0022787E"/>
    <w:rsid w:val="002514E3"/>
    <w:rsid w:val="002C5EA8"/>
    <w:rsid w:val="00322E1D"/>
    <w:rsid w:val="00325176"/>
    <w:rsid w:val="00332444"/>
    <w:rsid w:val="0036316B"/>
    <w:rsid w:val="0038160B"/>
    <w:rsid w:val="004404A4"/>
    <w:rsid w:val="00485642"/>
    <w:rsid w:val="004C41E6"/>
    <w:rsid w:val="004F13ED"/>
    <w:rsid w:val="00567561"/>
    <w:rsid w:val="00584CBA"/>
    <w:rsid w:val="005A3D27"/>
    <w:rsid w:val="005D143D"/>
    <w:rsid w:val="00623422"/>
    <w:rsid w:val="006B06E3"/>
    <w:rsid w:val="00787EE3"/>
    <w:rsid w:val="007D50F6"/>
    <w:rsid w:val="008927B7"/>
    <w:rsid w:val="00901907"/>
    <w:rsid w:val="00987927"/>
    <w:rsid w:val="009C6BB5"/>
    <w:rsid w:val="009D68E5"/>
    <w:rsid w:val="009D7A88"/>
    <w:rsid w:val="00A104A0"/>
    <w:rsid w:val="00A148AB"/>
    <w:rsid w:val="00A222BC"/>
    <w:rsid w:val="00AA3F1B"/>
    <w:rsid w:val="00AB1AEB"/>
    <w:rsid w:val="00AE7630"/>
    <w:rsid w:val="00B6223B"/>
    <w:rsid w:val="00B70494"/>
    <w:rsid w:val="00CA384A"/>
    <w:rsid w:val="00CF7233"/>
    <w:rsid w:val="00EA0C52"/>
    <w:rsid w:val="00EC718C"/>
    <w:rsid w:val="00F4363B"/>
    <w:rsid w:val="00F96991"/>
    <w:rsid w:val="00FD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D68E5"/>
    <w:pPr>
      <w:keepNext/>
      <w:keepLines/>
      <w:spacing w:before="360" w:after="0" w:line="600" w:lineRule="auto"/>
      <w:jc w:val="center"/>
      <w:outlineLvl w:val="0"/>
    </w:pPr>
    <w:rPr>
      <w:rFonts w:ascii="Times New Roman" w:eastAsiaTheme="majorEastAsia" w:hAnsi="Times New Roman" w:cstheme="majorBidi"/>
      <w:b/>
      <w:bCs/>
      <w:spacing w:val="50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68E5"/>
    <w:rPr>
      <w:rFonts w:ascii="Times New Roman" w:eastAsiaTheme="majorEastAsia" w:hAnsi="Times New Roman" w:cstheme="majorBidi"/>
      <w:b/>
      <w:bCs/>
      <w:spacing w:val="50"/>
      <w:sz w:val="24"/>
      <w:szCs w:val="28"/>
    </w:rPr>
  </w:style>
  <w:style w:type="paragraph" w:styleId="Odstavecseseznamem">
    <w:name w:val="List Paragraph"/>
    <w:basedOn w:val="Normln"/>
    <w:uiPriority w:val="34"/>
    <w:qFormat/>
    <w:rsid w:val="00325176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B622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223B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22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23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5EA8"/>
    <w:pPr>
      <w:spacing w:after="200"/>
      <w:ind w:firstLine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5E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5EA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C7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718C"/>
  </w:style>
  <w:style w:type="paragraph" w:styleId="Zpat">
    <w:name w:val="footer"/>
    <w:basedOn w:val="Normln"/>
    <w:link w:val="ZpatChar"/>
    <w:uiPriority w:val="99"/>
    <w:unhideWhenUsed/>
    <w:rsid w:val="00EC7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718C"/>
  </w:style>
  <w:style w:type="paragraph" w:customStyle="1" w:styleId="Paragrafneslovan">
    <w:name w:val="Paragraf nečíslovaný"/>
    <w:basedOn w:val="Normln"/>
    <w:autoRedefine/>
    <w:rsid w:val="00AA3F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D68E5"/>
    <w:pPr>
      <w:keepNext/>
      <w:keepLines/>
      <w:spacing w:before="360" w:after="0" w:line="600" w:lineRule="auto"/>
      <w:jc w:val="center"/>
      <w:outlineLvl w:val="0"/>
    </w:pPr>
    <w:rPr>
      <w:rFonts w:ascii="Times New Roman" w:eastAsiaTheme="majorEastAsia" w:hAnsi="Times New Roman" w:cstheme="majorBidi"/>
      <w:b/>
      <w:bCs/>
      <w:spacing w:val="50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68E5"/>
    <w:rPr>
      <w:rFonts w:ascii="Times New Roman" w:eastAsiaTheme="majorEastAsia" w:hAnsi="Times New Roman" w:cstheme="majorBidi"/>
      <w:b/>
      <w:bCs/>
      <w:spacing w:val="50"/>
      <w:sz w:val="24"/>
      <w:szCs w:val="28"/>
    </w:rPr>
  </w:style>
  <w:style w:type="paragraph" w:styleId="Odstavecseseznamem">
    <w:name w:val="List Paragraph"/>
    <w:basedOn w:val="Normln"/>
    <w:uiPriority w:val="34"/>
    <w:qFormat/>
    <w:rsid w:val="00325176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B622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223B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22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23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5EA8"/>
    <w:pPr>
      <w:spacing w:after="200"/>
      <w:ind w:firstLine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5E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5EA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C7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718C"/>
  </w:style>
  <w:style w:type="paragraph" w:styleId="Zpat">
    <w:name w:val="footer"/>
    <w:basedOn w:val="Normln"/>
    <w:link w:val="ZpatChar"/>
    <w:uiPriority w:val="99"/>
    <w:unhideWhenUsed/>
    <w:rsid w:val="00EC7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718C"/>
  </w:style>
  <w:style w:type="paragraph" w:customStyle="1" w:styleId="Paragrafneslovan">
    <w:name w:val="Paragraf nečíslovaný"/>
    <w:basedOn w:val="Normln"/>
    <w:autoRedefine/>
    <w:rsid w:val="00AA3F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usneseni.plzen.eu/bin_Soubor.php?id=98685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6274E-63ED-4DDA-BD3D-F3E4A198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903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Fremrová Michaela</dc:creator>
  <cp:lastModifiedBy>Fremrová Michaela</cp:lastModifiedBy>
  <cp:revision>8</cp:revision>
  <dcterms:created xsi:type="dcterms:W3CDTF">2020-04-17T08:52:00Z</dcterms:created>
  <dcterms:modified xsi:type="dcterms:W3CDTF">2020-04-28T07:23:00Z</dcterms:modified>
</cp:coreProperties>
</file>