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F2241" w:rsidRPr="007F2241" w:rsidTr="00BE67BF">
        <w:tc>
          <w:tcPr>
            <w:tcW w:w="3472" w:type="dxa"/>
            <w:hideMark/>
          </w:tcPr>
          <w:p w:rsidR="00826F38" w:rsidRPr="00A45622" w:rsidRDefault="009F69B0">
            <w:pPr>
              <w:rPr>
                <w:b/>
                <w:sz w:val="24"/>
                <w:szCs w:val="22"/>
              </w:rPr>
            </w:pPr>
            <w:r w:rsidRPr="00A45622">
              <w:rPr>
                <w:b/>
                <w:sz w:val="24"/>
                <w:szCs w:val="22"/>
              </w:rPr>
              <w:t>Zastupitelstvo</w:t>
            </w:r>
            <w:r w:rsidR="00826F38" w:rsidRPr="00A45622">
              <w:rPr>
                <w:b/>
                <w:sz w:val="24"/>
                <w:szCs w:val="22"/>
              </w:rPr>
              <w:t xml:space="preserve"> města Plzně dne:</w:t>
            </w:r>
          </w:p>
        </w:tc>
        <w:tc>
          <w:tcPr>
            <w:tcW w:w="2158" w:type="dxa"/>
            <w:hideMark/>
          </w:tcPr>
          <w:p w:rsidR="00826F38" w:rsidRPr="00A45622" w:rsidRDefault="00F84F2E" w:rsidP="00F84F2E">
            <w:pPr>
              <w:pStyle w:val="Zpat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B37E3F" w:rsidRPr="00A45622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2</w:t>
            </w:r>
            <w:r w:rsidR="00A01B23" w:rsidRPr="00A45622">
              <w:rPr>
                <w:b/>
                <w:szCs w:val="22"/>
              </w:rPr>
              <w:t>. 201</w:t>
            </w:r>
            <w:r>
              <w:rPr>
                <w:b/>
                <w:szCs w:val="22"/>
              </w:rPr>
              <w:t>9</w:t>
            </w:r>
            <w:r w:rsidR="00826F38" w:rsidRPr="00A45622">
              <w:rPr>
                <w:b/>
                <w:szCs w:val="22"/>
              </w:rPr>
              <w:t xml:space="preserve"> </w:t>
            </w:r>
          </w:p>
        </w:tc>
        <w:tc>
          <w:tcPr>
            <w:tcW w:w="3654" w:type="dxa"/>
            <w:hideMark/>
          </w:tcPr>
          <w:p w:rsidR="00826F38" w:rsidRPr="007F2241" w:rsidRDefault="005145E1" w:rsidP="005145E1">
            <w:pPr>
              <w:jc w:val="right"/>
              <w:rPr>
                <w:b/>
                <w:sz w:val="24"/>
                <w:szCs w:val="22"/>
              </w:rPr>
            </w:pPr>
            <w:proofErr w:type="spellStart"/>
            <w:r w:rsidRPr="007F2241">
              <w:rPr>
                <w:b/>
                <w:sz w:val="24"/>
                <w:szCs w:val="22"/>
              </w:rPr>
              <w:t>RadS</w:t>
            </w:r>
            <w:proofErr w:type="spellEnd"/>
            <w:r w:rsidR="007011C5" w:rsidRPr="007F2241">
              <w:rPr>
                <w:b/>
                <w:sz w:val="24"/>
                <w:szCs w:val="22"/>
              </w:rPr>
              <w:t>/</w:t>
            </w:r>
            <w:r w:rsidRPr="007F2241">
              <w:rPr>
                <w:b/>
                <w:sz w:val="24"/>
                <w:szCs w:val="22"/>
              </w:rPr>
              <w:t>2</w:t>
            </w:r>
          </w:p>
        </w:tc>
      </w:tr>
      <w:tr w:rsidR="00A01B23" w:rsidTr="00BE67BF">
        <w:tc>
          <w:tcPr>
            <w:tcW w:w="3472" w:type="dxa"/>
          </w:tcPr>
          <w:p w:rsidR="00A01B23" w:rsidRPr="000C5038" w:rsidRDefault="00A01B23">
            <w:pPr>
              <w:rPr>
                <w:b/>
                <w:sz w:val="22"/>
              </w:rPr>
            </w:pPr>
          </w:p>
        </w:tc>
        <w:tc>
          <w:tcPr>
            <w:tcW w:w="2158" w:type="dxa"/>
          </w:tcPr>
          <w:p w:rsidR="00A01B23" w:rsidRDefault="00A01B23">
            <w:pPr>
              <w:pStyle w:val="Zpat"/>
              <w:rPr>
                <w:i/>
              </w:rPr>
            </w:pPr>
          </w:p>
        </w:tc>
        <w:tc>
          <w:tcPr>
            <w:tcW w:w="3654" w:type="dxa"/>
          </w:tcPr>
          <w:p w:rsidR="00A01B23" w:rsidRDefault="00A01B23">
            <w:pPr>
              <w:rPr>
                <w:b/>
              </w:rPr>
            </w:pPr>
          </w:p>
        </w:tc>
      </w:tr>
    </w:tbl>
    <w:p w:rsidR="00826F38" w:rsidRDefault="00826F38" w:rsidP="00826F38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826F38" w:rsidRDefault="009F69B0" w:rsidP="00826F38">
      <w:pPr>
        <w:pStyle w:val="vlevo"/>
      </w:pPr>
      <w:r>
        <w:t>pro jednání Z</w:t>
      </w:r>
      <w:r w:rsidR="00826F38">
        <w:t xml:space="preserve">MP dne: </w:t>
      </w:r>
      <w:r w:rsidR="003D419D">
        <w:tab/>
      </w:r>
      <w:r w:rsidR="00F84F2E">
        <w:t>7</w:t>
      </w:r>
      <w:r w:rsidR="00B37E3F">
        <w:t>.</w:t>
      </w:r>
      <w:r w:rsidR="00A01B23" w:rsidRPr="003D419D">
        <w:t xml:space="preserve"> </w:t>
      </w:r>
      <w:r w:rsidR="00F84F2E">
        <w:t>února 2019</w:t>
      </w:r>
    </w:p>
    <w:p w:rsidR="00593A13" w:rsidRPr="003D419D" w:rsidRDefault="00593A13" w:rsidP="00826F38">
      <w:pPr>
        <w:pStyle w:val="vlevo"/>
      </w:pPr>
    </w:p>
    <w:p w:rsidR="00826F38" w:rsidRDefault="00826F38" w:rsidP="007D05D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826F38" w:rsidTr="00163A32">
        <w:trPr>
          <w:cantSplit/>
        </w:trPr>
        <w:tc>
          <w:tcPr>
            <w:tcW w:w="1275" w:type="dxa"/>
            <w:hideMark/>
          </w:tcPr>
          <w:p w:rsidR="00826F38" w:rsidRDefault="00826F38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hideMark/>
          </w:tcPr>
          <w:p w:rsidR="00826F38" w:rsidRPr="003D419D" w:rsidRDefault="00F84F2E" w:rsidP="00F84F2E">
            <w:pPr>
              <w:pStyle w:val="vlevo"/>
            </w:pPr>
            <w:r>
              <w:t>Návrhu řešení budoucího využití</w:t>
            </w:r>
            <w:r w:rsidR="0086099A">
              <w:t xml:space="preserve"> </w:t>
            </w:r>
            <w:r w:rsidR="00220039">
              <w:t>objektu K</w:t>
            </w:r>
            <w:r w:rsidR="009B0835">
              <w:t>ulturní dům</w:t>
            </w:r>
            <w:r w:rsidR="00220039">
              <w:t xml:space="preserve"> Peklo</w:t>
            </w:r>
          </w:p>
        </w:tc>
      </w:tr>
    </w:tbl>
    <w:p w:rsidR="00826F38" w:rsidRDefault="00826F38" w:rsidP="00826F38">
      <w:pPr>
        <w:ind w:left="67"/>
        <w:jc w:val="both"/>
      </w:pPr>
    </w:p>
    <w:p w:rsidR="00826F38" w:rsidRDefault="00826F38" w:rsidP="009172A9">
      <w:pPr>
        <w:ind w:left="67"/>
        <w:jc w:val="both"/>
      </w:pPr>
    </w:p>
    <w:p w:rsidR="00B079D4" w:rsidRDefault="00682776" w:rsidP="00E4213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</w:rPr>
        <w:t>Kulturní dům</w:t>
      </w:r>
      <w:r w:rsidR="009B0835">
        <w:rPr>
          <w:sz w:val="24"/>
        </w:rPr>
        <w:t xml:space="preserve"> </w:t>
      </w:r>
      <w:r w:rsidR="002F5CAC">
        <w:rPr>
          <w:sz w:val="24"/>
        </w:rPr>
        <w:t xml:space="preserve">Peklo </w:t>
      </w:r>
      <w:r w:rsidR="00174E46">
        <w:rPr>
          <w:sz w:val="24"/>
        </w:rPr>
        <w:t xml:space="preserve">(dále jen „KD Peklo“) </w:t>
      </w:r>
      <w:r w:rsidR="002F5CAC">
        <w:rPr>
          <w:sz w:val="24"/>
        </w:rPr>
        <w:t xml:space="preserve">patří mezi nejvýznamnější kulturní </w:t>
      </w:r>
      <w:r>
        <w:rPr>
          <w:sz w:val="24"/>
        </w:rPr>
        <w:t>objekty</w:t>
      </w:r>
      <w:r w:rsidR="002F5CAC">
        <w:rPr>
          <w:sz w:val="24"/>
        </w:rPr>
        <w:t xml:space="preserve"> v Plzni. </w:t>
      </w:r>
      <w:r w:rsidR="00E42136">
        <w:rPr>
          <w:sz w:val="24"/>
          <w:szCs w:val="24"/>
        </w:rPr>
        <w:t>Stavební vývoj areálu Pekla je rozmanitý. Počátek stavby se datuje do roku 1894</w:t>
      </w:r>
      <w:r w:rsidR="00087620">
        <w:rPr>
          <w:sz w:val="24"/>
          <w:szCs w:val="24"/>
        </w:rPr>
        <w:t xml:space="preserve">, </w:t>
      </w:r>
      <w:r w:rsidR="00E42136">
        <w:rPr>
          <w:sz w:val="24"/>
          <w:szCs w:val="24"/>
        </w:rPr>
        <w:t xml:space="preserve">Velký sál </w:t>
      </w:r>
      <w:r w:rsidR="004F3565">
        <w:rPr>
          <w:sz w:val="24"/>
          <w:szCs w:val="24"/>
        </w:rPr>
        <w:t xml:space="preserve">KD Peklo (dále jen „Velký sál“) </w:t>
      </w:r>
      <w:r w:rsidR="00E42136">
        <w:rPr>
          <w:sz w:val="24"/>
          <w:szCs w:val="24"/>
        </w:rPr>
        <w:t>v neorenesančním slohu byl přistavěn v letech 1905–07. V místě terénního zlomu komplex obsahuje dvě podzemní podlaží</w:t>
      </w:r>
      <w:r w:rsidR="00C97B48">
        <w:rPr>
          <w:sz w:val="24"/>
          <w:szCs w:val="24"/>
        </w:rPr>
        <w:t xml:space="preserve"> -</w:t>
      </w:r>
      <w:r w:rsidR="00E42136">
        <w:rPr>
          <w:sz w:val="24"/>
          <w:szCs w:val="24"/>
        </w:rPr>
        <w:t xml:space="preserve"> </w:t>
      </w:r>
      <w:r w:rsidR="00C97B48">
        <w:rPr>
          <w:sz w:val="24"/>
          <w:szCs w:val="24"/>
        </w:rPr>
        <w:t>b</w:t>
      </w:r>
      <w:r w:rsidR="00E42136">
        <w:rPr>
          <w:sz w:val="24"/>
          <w:szCs w:val="24"/>
        </w:rPr>
        <w:t>udova s restaurací a klubová část vznikla v roce 1938</w:t>
      </w:r>
      <w:r w:rsidR="00877AAF">
        <w:rPr>
          <w:sz w:val="24"/>
          <w:szCs w:val="24"/>
        </w:rPr>
        <w:t>, h</w:t>
      </w:r>
      <w:r w:rsidR="00E42136">
        <w:rPr>
          <w:sz w:val="24"/>
          <w:szCs w:val="24"/>
        </w:rPr>
        <w:t>lavní schodišťová hala, schodiště pro velký sál a sociální zařízení byla postavena v roce 1957. Poslední etapou byla přístavba zázemí za</w:t>
      </w:r>
      <w:r w:rsidR="00710913">
        <w:rPr>
          <w:sz w:val="24"/>
          <w:szCs w:val="24"/>
        </w:rPr>
        <w:t> </w:t>
      </w:r>
      <w:r w:rsidR="004F3565">
        <w:rPr>
          <w:sz w:val="24"/>
          <w:szCs w:val="24"/>
        </w:rPr>
        <w:t>V</w:t>
      </w:r>
      <w:r w:rsidR="00E42136">
        <w:rPr>
          <w:sz w:val="24"/>
          <w:szCs w:val="24"/>
        </w:rPr>
        <w:t>elkým sálem z roku 1967. Celý komplex budov vytváří uliční frontu směrem do Pobřežní ulice a navazuje na Fischerovu vilu. Zadní část komplexu</w:t>
      </w:r>
      <w:r w:rsidR="004E73D3">
        <w:rPr>
          <w:sz w:val="24"/>
          <w:szCs w:val="24"/>
        </w:rPr>
        <w:t>,</w:t>
      </w:r>
      <w:r w:rsidR="00E42136">
        <w:rPr>
          <w:sz w:val="24"/>
          <w:szCs w:val="24"/>
        </w:rPr>
        <w:t xml:space="preserve"> orientovaná do</w:t>
      </w:r>
      <w:r w:rsidR="000F4B1C">
        <w:rPr>
          <w:sz w:val="24"/>
          <w:szCs w:val="24"/>
        </w:rPr>
        <w:t> </w:t>
      </w:r>
      <w:r w:rsidR="00E42136">
        <w:rPr>
          <w:sz w:val="24"/>
          <w:szCs w:val="24"/>
        </w:rPr>
        <w:t>Jízdecké – Tyršovy ulice</w:t>
      </w:r>
      <w:r w:rsidR="004E73D3">
        <w:rPr>
          <w:sz w:val="24"/>
          <w:szCs w:val="24"/>
        </w:rPr>
        <w:t>,</w:t>
      </w:r>
      <w:r w:rsidR="00E42136">
        <w:rPr>
          <w:sz w:val="24"/>
          <w:szCs w:val="24"/>
        </w:rPr>
        <w:t xml:space="preserve"> má spíše průmyslový charakter s celou řadou zásobovacích ramp. </w:t>
      </w:r>
      <w:r w:rsidR="009D0A6F">
        <w:rPr>
          <w:sz w:val="24"/>
          <w:szCs w:val="24"/>
        </w:rPr>
        <w:t>Stávající objekty jsou celkově ve špatném stavebně technickém stavu</w:t>
      </w:r>
      <w:r w:rsidR="00083A6A">
        <w:rPr>
          <w:sz w:val="24"/>
          <w:szCs w:val="24"/>
        </w:rPr>
        <w:t>.</w:t>
      </w:r>
    </w:p>
    <w:p w:rsidR="0044633A" w:rsidRDefault="008A10E5" w:rsidP="00E4213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Bývalý Dělnický dům Peklo je dnes zapsanou nemovitou kulturní památkou vedenou v </w:t>
      </w:r>
      <w:r w:rsidR="00B515A9">
        <w:rPr>
          <w:sz w:val="24"/>
          <w:szCs w:val="24"/>
        </w:rPr>
        <w:t>Ú</w:t>
      </w:r>
      <w:r>
        <w:rPr>
          <w:sz w:val="24"/>
          <w:szCs w:val="24"/>
        </w:rPr>
        <w:t xml:space="preserve">středním seznamu </w:t>
      </w:r>
      <w:r w:rsidR="006127D8">
        <w:rPr>
          <w:sz w:val="24"/>
          <w:szCs w:val="24"/>
        </w:rPr>
        <w:t>kulturních památek</w:t>
      </w:r>
      <w:r>
        <w:rPr>
          <w:sz w:val="24"/>
          <w:szCs w:val="24"/>
        </w:rPr>
        <w:t xml:space="preserve"> pod rejstř</w:t>
      </w:r>
      <w:r w:rsidR="005C4796">
        <w:rPr>
          <w:sz w:val="24"/>
          <w:szCs w:val="24"/>
        </w:rPr>
        <w:t>íkovým číslem</w:t>
      </w:r>
      <w:r w:rsidR="00C034A7">
        <w:rPr>
          <w:sz w:val="24"/>
          <w:szCs w:val="24"/>
        </w:rPr>
        <w:t xml:space="preserve"> 47588/4-205. </w:t>
      </w:r>
      <w:r>
        <w:rPr>
          <w:sz w:val="24"/>
          <w:szCs w:val="24"/>
        </w:rPr>
        <w:t xml:space="preserve">Z této ochrany vyplývá, že všechny stavební úpravy musí být projednány a odsouhlaseny orgány památkové péče. </w:t>
      </w:r>
    </w:p>
    <w:p w:rsidR="00440ED7" w:rsidRDefault="00440ED7" w:rsidP="00E42136">
      <w:pPr>
        <w:pStyle w:val="Odstavecseseznamem"/>
        <w:ind w:left="0"/>
        <w:jc w:val="both"/>
        <w:rPr>
          <w:sz w:val="24"/>
          <w:szCs w:val="24"/>
        </w:rPr>
      </w:pPr>
    </w:p>
    <w:p w:rsidR="00976BA5" w:rsidRDefault="00F84F2E" w:rsidP="007849CE">
      <w:pPr>
        <w:pStyle w:val="Default"/>
        <w:jc w:val="both"/>
      </w:pPr>
      <w:r>
        <w:rPr>
          <w:rFonts w:eastAsia="Times New Roman"/>
          <w:color w:val="auto"/>
          <w:szCs w:val="20"/>
          <w:lang w:eastAsia="cs-CZ"/>
        </w:rPr>
        <w:t>Na jaře roku 2018</w:t>
      </w:r>
      <w:r w:rsidR="00366CF2">
        <w:rPr>
          <w:rFonts w:eastAsia="Times New Roman"/>
          <w:color w:val="auto"/>
          <w:szCs w:val="20"/>
          <w:lang w:eastAsia="cs-CZ"/>
        </w:rPr>
        <w:t xml:space="preserve"> byl </w:t>
      </w:r>
      <w:r>
        <w:rPr>
          <w:rFonts w:eastAsia="Times New Roman"/>
          <w:color w:val="auto"/>
          <w:szCs w:val="20"/>
          <w:lang w:eastAsia="cs-CZ"/>
        </w:rPr>
        <w:t xml:space="preserve">správcem, společností Obytná zóna Sylván a.s., převzat KD Peklo do správy od </w:t>
      </w:r>
      <w:proofErr w:type="gramStart"/>
      <w:r>
        <w:rPr>
          <w:rFonts w:eastAsia="Times New Roman"/>
          <w:color w:val="auto"/>
          <w:szCs w:val="20"/>
          <w:lang w:eastAsia="cs-CZ"/>
        </w:rPr>
        <w:t>Plzeň</w:t>
      </w:r>
      <w:proofErr w:type="gramEnd"/>
      <w:r>
        <w:rPr>
          <w:rFonts w:eastAsia="Times New Roman"/>
          <w:color w:val="auto"/>
          <w:szCs w:val="20"/>
          <w:lang w:eastAsia="cs-CZ"/>
        </w:rPr>
        <w:t xml:space="preserve"> 2015 z. </w:t>
      </w:r>
      <w:proofErr w:type="spellStart"/>
      <w:r>
        <w:rPr>
          <w:rFonts w:eastAsia="Times New Roman"/>
          <w:color w:val="auto"/>
          <w:szCs w:val="20"/>
          <w:lang w:eastAsia="cs-CZ"/>
        </w:rPr>
        <w:t>ú.</w:t>
      </w:r>
      <w:proofErr w:type="spellEnd"/>
      <w:r>
        <w:rPr>
          <w:rFonts w:eastAsia="Times New Roman"/>
          <w:color w:val="auto"/>
          <w:szCs w:val="20"/>
          <w:lang w:eastAsia="cs-CZ"/>
        </w:rPr>
        <w:t xml:space="preserve"> a současně byla </w:t>
      </w:r>
      <w:r w:rsidR="00366CF2">
        <w:rPr>
          <w:rFonts w:eastAsia="Times New Roman"/>
          <w:color w:val="auto"/>
          <w:szCs w:val="20"/>
          <w:lang w:eastAsia="cs-CZ"/>
        </w:rPr>
        <w:t>zahájena částečná</w:t>
      </w:r>
      <w:r w:rsidR="0044633A" w:rsidRPr="00980340">
        <w:rPr>
          <w:rFonts w:eastAsia="Times New Roman"/>
          <w:color w:val="auto"/>
          <w:szCs w:val="20"/>
          <w:lang w:eastAsia="cs-CZ"/>
        </w:rPr>
        <w:t xml:space="preserve"> rekonstrukce, na kterou bylo </w:t>
      </w:r>
      <w:r w:rsidR="00BF6427">
        <w:rPr>
          <w:rFonts w:eastAsia="Times New Roman"/>
          <w:color w:val="auto"/>
          <w:szCs w:val="20"/>
          <w:lang w:eastAsia="cs-CZ"/>
        </w:rPr>
        <w:t>z</w:t>
      </w:r>
      <w:r w:rsidR="0044633A" w:rsidRPr="00980340">
        <w:rPr>
          <w:rFonts w:eastAsia="Times New Roman"/>
          <w:color w:val="auto"/>
          <w:szCs w:val="20"/>
          <w:lang w:eastAsia="cs-CZ"/>
        </w:rPr>
        <w:t xml:space="preserve"> rozpočtu </w:t>
      </w:r>
      <w:r w:rsidR="00B079D4">
        <w:rPr>
          <w:rFonts w:eastAsia="Times New Roman"/>
          <w:color w:val="auto"/>
          <w:szCs w:val="20"/>
          <w:lang w:eastAsia="cs-CZ"/>
        </w:rPr>
        <w:t xml:space="preserve">statutárního města Plzně </w:t>
      </w:r>
      <w:r w:rsidR="0044633A" w:rsidRPr="00980340">
        <w:rPr>
          <w:rFonts w:eastAsia="Times New Roman"/>
          <w:color w:val="auto"/>
          <w:szCs w:val="20"/>
          <w:lang w:eastAsia="cs-CZ"/>
        </w:rPr>
        <w:t>vyčleněno 20 mil. Kč</w:t>
      </w:r>
      <w:r w:rsidR="00B079D4">
        <w:rPr>
          <w:rFonts w:eastAsia="Times New Roman"/>
          <w:color w:val="auto"/>
          <w:szCs w:val="20"/>
          <w:lang w:eastAsia="cs-CZ"/>
        </w:rPr>
        <w:t>. Cílem této rekonstrukce</w:t>
      </w:r>
      <w:r w:rsidR="0044633A" w:rsidRPr="00980340">
        <w:rPr>
          <w:rFonts w:eastAsia="Times New Roman"/>
          <w:color w:val="auto"/>
          <w:szCs w:val="20"/>
          <w:lang w:eastAsia="cs-CZ"/>
        </w:rPr>
        <w:t xml:space="preserve"> bylo zejména vybudování nového vytápění, rozvodů vody, kanalizace, provedení rekonstrukce toalet a výměna parket ve</w:t>
      </w:r>
      <w:r w:rsidR="008F544A">
        <w:rPr>
          <w:rFonts w:eastAsia="Times New Roman"/>
          <w:color w:val="auto"/>
          <w:szCs w:val="20"/>
          <w:lang w:eastAsia="cs-CZ"/>
        </w:rPr>
        <w:t> </w:t>
      </w:r>
      <w:r w:rsidR="00E9290F">
        <w:rPr>
          <w:rFonts w:eastAsia="Times New Roman"/>
          <w:color w:val="auto"/>
          <w:szCs w:val="20"/>
          <w:lang w:eastAsia="cs-CZ"/>
        </w:rPr>
        <w:t>V</w:t>
      </w:r>
      <w:r w:rsidR="0044633A" w:rsidRPr="00980340">
        <w:rPr>
          <w:rFonts w:eastAsia="Times New Roman"/>
          <w:color w:val="auto"/>
          <w:szCs w:val="20"/>
          <w:lang w:eastAsia="cs-CZ"/>
        </w:rPr>
        <w:t>elkém sále</w:t>
      </w:r>
      <w:r w:rsidR="00B079D4">
        <w:rPr>
          <w:rFonts w:eastAsia="Times New Roman"/>
          <w:color w:val="auto"/>
          <w:szCs w:val="20"/>
          <w:lang w:eastAsia="cs-CZ"/>
        </w:rPr>
        <w:t xml:space="preserve">. </w:t>
      </w:r>
      <w:r>
        <w:rPr>
          <w:rFonts w:eastAsia="Times New Roman"/>
          <w:color w:val="auto"/>
          <w:szCs w:val="20"/>
          <w:lang w:eastAsia="cs-CZ"/>
        </w:rPr>
        <w:t>Prakticky ihned po zahájení</w:t>
      </w:r>
      <w:r w:rsidR="00B079D4" w:rsidRPr="00532CD1">
        <w:t xml:space="preserve"> prací na rekonstrukci</w:t>
      </w:r>
      <w:r w:rsidR="0044633A" w:rsidRPr="00532CD1">
        <w:t xml:space="preserve"> bylo ve </w:t>
      </w:r>
      <w:r w:rsidR="00E9290F" w:rsidRPr="00532CD1">
        <w:t>V</w:t>
      </w:r>
      <w:r w:rsidR="0044633A" w:rsidRPr="00532CD1">
        <w:t xml:space="preserve">elkém sále </w:t>
      </w:r>
      <w:r w:rsidR="00B079D4" w:rsidRPr="00532CD1">
        <w:t xml:space="preserve">zjištěno </w:t>
      </w:r>
      <w:r w:rsidR="0044633A" w:rsidRPr="00532CD1">
        <w:t xml:space="preserve">poškození </w:t>
      </w:r>
      <w:r w:rsidR="00B079D4" w:rsidRPr="00532CD1">
        <w:t xml:space="preserve">budovy </w:t>
      </w:r>
      <w:r w:rsidR="0044633A" w:rsidRPr="00532CD1">
        <w:t xml:space="preserve">trhlinami v části stropu. </w:t>
      </w:r>
      <w:r w:rsidR="00B515A9" w:rsidRPr="00532CD1">
        <w:t>P</w:t>
      </w:r>
      <w:r w:rsidR="0044633A" w:rsidRPr="00532CD1">
        <w:t xml:space="preserve">ro zpřístupnění krovu nad </w:t>
      </w:r>
      <w:r w:rsidR="00B079D4" w:rsidRPr="00532CD1">
        <w:t>Velký</w:t>
      </w:r>
      <w:r w:rsidR="0044633A" w:rsidRPr="00532CD1">
        <w:t>m sálem muselo nejdříve dojít k vyvezení cca 70 tun škvárového násypu. Přivolaný statik na</w:t>
      </w:r>
      <w:r w:rsidR="00426D38" w:rsidRPr="00532CD1">
        <w:t> </w:t>
      </w:r>
      <w:r w:rsidR="0044633A" w:rsidRPr="00532CD1">
        <w:t>základě vlastních zjištění a</w:t>
      </w:r>
      <w:r w:rsidR="00391981">
        <w:t> </w:t>
      </w:r>
      <w:r w:rsidR="0044633A" w:rsidRPr="00532CD1">
        <w:t>provedeného mykologického průzkumu, k</w:t>
      </w:r>
      <w:r w:rsidR="00B079D4" w:rsidRPr="00532CD1">
        <w:t xml:space="preserve">terým bylo </w:t>
      </w:r>
      <w:r w:rsidR="0044633A" w:rsidRPr="00532CD1">
        <w:t>zjištěno napadení</w:t>
      </w:r>
      <w:r w:rsidR="00B079D4" w:rsidRPr="00532CD1">
        <w:t xml:space="preserve"> krovu</w:t>
      </w:r>
      <w:r w:rsidR="0044633A" w:rsidRPr="00532CD1">
        <w:t xml:space="preserve"> dřevokaznými houbami, konstatoval havarijní stav </w:t>
      </w:r>
      <w:r w:rsidR="00B079D4" w:rsidRPr="00532CD1">
        <w:t xml:space="preserve">tohoto </w:t>
      </w:r>
      <w:r w:rsidR="0044633A" w:rsidRPr="00532CD1">
        <w:t xml:space="preserve">krovu. </w:t>
      </w:r>
    </w:p>
    <w:p w:rsidR="00E42136" w:rsidRPr="00532CD1" w:rsidRDefault="0044633A" w:rsidP="007849CE">
      <w:pPr>
        <w:pStyle w:val="Default"/>
        <w:jc w:val="both"/>
      </w:pPr>
      <w:r w:rsidRPr="00532CD1">
        <w:t>Z </w:t>
      </w:r>
      <w:r w:rsidR="00C4501A" w:rsidRPr="00532CD1">
        <w:t xml:space="preserve">uvedeného </w:t>
      </w:r>
      <w:r w:rsidRPr="00532CD1">
        <w:t>důvodu není možné prostor</w:t>
      </w:r>
      <w:r w:rsidR="00411B9E" w:rsidRPr="00532CD1">
        <w:t>y</w:t>
      </w:r>
      <w:r w:rsidRPr="00532CD1">
        <w:t xml:space="preserve"> </w:t>
      </w:r>
      <w:r w:rsidR="00583867" w:rsidRPr="00532CD1">
        <w:t>V</w:t>
      </w:r>
      <w:r w:rsidRPr="00532CD1">
        <w:t xml:space="preserve">elkého sálu pod krovem </w:t>
      </w:r>
      <w:r w:rsidR="00583867" w:rsidRPr="00532CD1">
        <w:t xml:space="preserve">nyní </w:t>
      </w:r>
      <w:r w:rsidRPr="00532CD1">
        <w:t>zpřístupnit.</w:t>
      </w:r>
      <w:r w:rsidR="00583867" w:rsidRPr="00532CD1">
        <w:t xml:space="preserve"> </w:t>
      </w:r>
      <w:r w:rsidR="00416C87" w:rsidRPr="00532CD1">
        <w:t>O</w:t>
      </w:r>
      <w:r w:rsidR="00E42136" w:rsidRPr="00532CD1">
        <w:t>rgány památkové péče jednoznačně požadují vytvořit takovou dokumentaci současného stropu, aby mohl být po</w:t>
      </w:r>
      <w:r w:rsidR="00A13A1D" w:rsidRPr="00532CD1">
        <w:t>dle ní následně</w:t>
      </w:r>
      <w:r w:rsidR="00E42136" w:rsidRPr="00532CD1">
        <w:t xml:space="preserve"> </w:t>
      </w:r>
      <w:r w:rsidR="00A13A1D" w:rsidRPr="00532CD1">
        <w:t xml:space="preserve">po jeho </w:t>
      </w:r>
      <w:r w:rsidR="00E42136" w:rsidRPr="00532CD1">
        <w:t>snesení opět rekonstruován</w:t>
      </w:r>
      <w:r w:rsidR="00A13A1D" w:rsidRPr="00532CD1">
        <w:t xml:space="preserve"> do původní podoby</w:t>
      </w:r>
      <w:r w:rsidR="00E42136" w:rsidRPr="00532CD1">
        <w:t xml:space="preserve">, neboť je v podstatě výtvarně nejzdobnějším prvkem </w:t>
      </w:r>
      <w:r w:rsidR="00A13A1D" w:rsidRPr="00532CD1">
        <w:t>V</w:t>
      </w:r>
      <w:r w:rsidR="00E42136" w:rsidRPr="00532CD1">
        <w:t>elkého sálu,</w:t>
      </w:r>
      <w:r w:rsidR="00A13A1D" w:rsidRPr="00532CD1">
        <w:t xml:space="preserve"> a to</w:t>
      </w:r>
      <w:r w:rsidR="00E42136" w:rsidRPr="00532CD1">
        <w:t xml:space="preserve"> spolu s navazující tektonikou balkónů a jejich zdobených poprsní. Současně s tím by mělo dojít i k odstranění dřevěných obkladů v prostoru sálu, které tam </w:t>
      </w:r>
      <w:r w:rsidR="00583867" w:rsidRPr="00532CD1">
        <w:t>počátkem</w:t>
      </w:r>
      <w:r w:rsidR="00CE4BC4" w:rsidRPr="00532CD1">
        <w:t xml:space="preserve"> </w:t>
      </w:r>
      <w:r w:rsidR="00E42136" w:rsidRPr="00532CD1">
        <w:t>60.</w:t>
      </w:r>
      <w:r w:rsidR="00274327" w:rsidRPr="00532CD1">
        <w:t xml:space="preserve"> </w:t>
      </w:r>
      <w:r w:rsidR="00E42136" w:rsidRPr="00532CD1">
        <w:t>let minulého století byly provedeny z důvodů</w:t>
      </w:r>
      <w:r w:rsidR="00A13A1D" w:rsidRPr="00532CD1">
        <w:t xml:space="preserve"> </w:t>
      </w:r>
      <w:r w:rsidR="00E42136" w:rsidRPr="00532CD1">
        <w:t>zakry</w:t>
      </w:r>
      <w:r w:rsidR="00A13A1D" w:rsidRPr="00532CD1">
        <w:t>tí</w:t>
      </w:r>
      <w:r w:rsidR="00E42136" w:rsidRPr="00532CD1">
        <w:t xml:space="preserve"> </w:t>
      </w:r>
      <w:r w:rsidR="00A13A1D" w:rsidRPr="00532CD1">
        <w:t xml:space="preserve">stop </w:t>
      </w:r>
      <w:r w:rsidR="00E42136" w:rsidRPr="00532CD1">
        <w:t>vzlínající vlhkost</w:t>
      </w:r>
      <w:r w:rsidR="00A13A1D" w:rsidRPr="00532CD1">
        <w:t>i</w:t>
      </w:r>
      <w:r w:rsidR="00E42136" w:rsidRPr="00532CD1">
        <w:t xml:space="preserve">, která taktéž prohlubuje neutěšený stav objektu. </w:t>
      </w:r>
    </w:p>
    <w:p w:rsidR="00A13A1D" w:rsidRPr="00532CD1" w:rsidRDefault="00282381" w:rsidP="00532CD1">
      <w:pPr>
        <w:pStyle w:val="Odstavecseseznamem"/>
        <w:ind w:left="0"/>
        <w:jc w:val="both"/>
        <w:rPr>
          <w:sz w:val="24"/>
          <w:szCs w:val="24"/>
        </w:rPr>
      </w:pPr>
      <w:r w:rsidRPr="00532CD1">
        <w:rPr>
          <w:sz w:val="24"/>
          <w:szCs w:val="24"/>
        </w:rPr>
        <w:t>Z hlediska kulturního využití je nejvýznamnější částí křídlo, kde se nachází Velký sál s jevištěm – hlavní provoz objektu, který má kapacitu cca 760 míst</w:t>
      </w:r>
      <w:r w:rsidR="00A13A1D" w:rsidRPr="00532CD1">
        <w:rPr>
          <w:sz w:val="24"/>
          <w:szCs w:val="24"/>
        </w:rPr>
        <w:t xml:space="preserve">. Tento sál </w:t>
      </w:r>
      <w:r w:rsidRPr="00532CD1">
        <w:rPr>
          <w:sz w:val="24"/>
          <w:szCs w:val="24"/>
        </w:rPr>
        <w:t xml:space="preserve">spolu s Velkým sálem Měšťanské besedy (cca 674 míst) tvoří </w:t>
      </w:r>
      <w:r w:rsidR="00A13A1D" w:rsidRPr="00532CD1">
        <w:rPr>
          <w:sz w:val="24"/>
          <w:szCs w:val="24"/>
        </w:rPr>
        <w:t xml:space="preserve">pro kulturní účely základní </w:t>
      </w:r>
      <w:r w:rsidRPr="00532CD1">
        <w:rPr>
          <w:sz w:val="24"/>
          <w:szCs w:val="24"/>
        </w:rPr>
        <w:t>prostory s největší diváckou kapacitou</w:t>
      </w:r>
      <w:r w:rsidR="00A13A1D" w:rsidRPr="00532CD1">
        <w:rPr>
          <w:sz w:val="24"/>
          <w:szCs w:val="24"/>
        </w:rPr>
        <w:t xml:space="preserve"> ve městě.</w:t>
      </w:r>
    </w:p>
    <w:p w:rsidR="00AD20C8" w:rsidRDefault="00AD20C8" w:rsidP="00EA123F">
      <w:pPr>
        <w:pStyle w:val="Default"/>
        <w:jc w:val="both"/>
      </w:pPr>
    </w:p>
    <w:p w:rsidR="008D5ACC" w:rsidRDefault="00F84F2E" w:rsidP="008D5ACC">
      <w:pPr>
        <w:jc w:val="both"/>
        <w:rPr>
          <w:sz w:val="24"/>
          <w:szCs w:val="24"/>
        </w:rPr>
      </w:pPr>
      <w:r w:rsidRPr="008D5ACC">
        <w:rPr>
          <w:sz w:val="24"/>
          <w:szCs w:val="24"/>
        </w:rPr>
        <w:t>V průběhu čtvrtého čtvrtletí roku 2018 nechal správce zpracovat</w:t>
      </w:r>
      <w:r w:rsidR="008D5ACC" w:rsidRPr="008D5ACC">
        <w:rPr>
          <w:sz w:val="24"/>
          <w:szCs w:val="24"/>
        </w:rPr>
        <w:t xml:space="preserve"> Návrh rekonstrukce KD Peklo s přihlédnutím k havarijnímu stavu krovu nad hlavním sálem. Návrh zpracoval ing. arch. Petr Nosek, ČKA 02846 ATELIER A CZ s.r.o., Lochotínská 24a, 301 00 Plzeň, dne</w:t>
      </w:r>
      <w:r w:rsidR="008D5ACC">
        <w:rPr>
          <w:sz w:val="24"/>
          <w:szCs w:val="24"/>
        </w:rPr>
        <w:br/>
      </w:r>
      <w:r w:rsidR="008D5ACC" w:rsidRPr="008D5ACC">
        <w:rPr>
          <w:sz w:val="24"/>
          <w:szCs w:val="24"/>
        </w:rPr>
        <w:t>11.</w:t>
      </w:r>
      <w:r w:rsidR="008D5ACC">
        <w:rPr>
          <w:sz w:val="24"/>
          <w:szCs w:val="24"/>
        </w:rPr>
        <w:t xml:space="preserve"> </w:t>
      </w:r>
      <w:r w:rsidR="008D5ACC" w:rsidRPr="008D5ACC">
        <w:rPr>
          <w:sz w:val="24"/>
          <w:szCs w:val="24"/>
        </w:rPr>
        <w:t>1.</w:t>
      </w:r>
      <w:r w:rsidR="008D5ACC">
        <w:rPr>
          <w:sz w:val="24"/>
          <w:szCs w:val="24"/>
        </w:rPr>
        <w:t xml:space="preserve"> </w:t>
      </w:r>
      <w:r w:rsidR="008D5ACC" w:rsidRPr="008D5ACC">
        <w:rPr>
          <w:sz w:val="24"/>
          <w:szCs w:val="24"/>
        </w:rPr>
        <w:t>2018</w:t>
      </w:r>
      <w:r w:rsidR="008D5ACC">
        <w:rPr>
          <w:sz w:val="24"/>
          <w:szCs w:val="24"/>
        </w:rPr>
        <w:t>. Návrh je zpracován ve dvou variantách:</w:t>
      </w:r>
    </w:p>
    <w:p w:rsidR="008D5ACC" w:rsidRDefault="008D5ACC" w:rsidP="008D5ACC">
      <w:pPr>
        <w:rPr>
          <w:b/>
          <w:i/>
          <w:sz w:val="24"/>
          <w:szCs w:val="24"/>
          <w:u w:val="single"/>
        </w:rPr>
      </w:pPr>
    </w:p>
    <w:p w:rsidR="008D5ACC" w:rsidRPr="008D5ACC" w:rsidRDefault="008D5ACC" w:rsidP="008D5ACC">
      <w:pPr>
        <w:rPr>
          <w:b/>
          <w:i/>
          <w:sz w:val="24"/>
          <w:szCs w:val="24"/>
          <w:u w:val="single"/>
        </w:rPr>
      </w:pPr>
      <w:r w:rsidRPr="008D5ACC">
        <w:rPr>
          <w:b/>
          <w:i/>
          <w:sz w:val="24"/>
          <w:szCs w:val="24"/>
          <w:u w:val="single"/>
        </w:rPr>
        <w:t>Návrh rozsahu rekonstrukce</w:t>
      </w:r>
      <w:r w:rsidR="00FE3B10">
        <w:rPr>
          <w:b/>
          <w:i/>
          <w:sz w:val="24"/>
          <w:szCs w:val="24"/>
          <w:u w:val="single"/>
        </w:rPr>
        <w:t>:</w:t>
      </w:r>
    </w:p>
    <w:p w:rsidR="008D5ACC" w:rsidRP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b/>
          <w:sz w:val="24"/>
          <w:szCs w:val="24"/>
        </w:rPr>
      </w:pPr>
      <w:r w:rsidRPr="008D5ACC">
        <w:rPr>
          <w:b/>
          <w:sz w:val="24"/>
          <w:szCs w:val="24"/>
        </w:rPr>
        <w:t>NUTNÉ PRÁCE před započetím jakékoli další stavební činnosti</w:t>
      </w:r>
    </w:p>
    <w:p w:rsidR="008D5ACC" w:rsidRPr="008D5ACC" w:rsidRDefault="008D5ACC" w:rsidP="00FE3B10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sz w:val="24"/>
          <w:szCs w:val="24"/>
        </w:rPr>
      </w:pPr>
      <w:r w:rsidRPr="008D5ACC">
        <w:rPr>
          <w:sz w:val="24"/>
          <w:szCs w:val="24"/>
        </w:rPr>
        <w:t xml:space="preserve">Bylo provedeno zdokumentování štukové výzdoby podhledu tak, aby bylo možné zhotovit identickou kopii (proběhlo 3D skenování prostoru a následné zhotovení vybraných detailů pro budoucí výrobu) </w:t>
      </w:r>
    </w:p>
    <w:p w:rsidR="008D5ACC" w:rsidRPr="008D5ACC" w:rsidRDefault="008D5ACC" w:rsidP="00FE3B10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D5ACC">
        <w:rPr>
          <w:sz w:val="24"/>
          <w:szCs w:val="24"/>
        </w:rPr>
        <w:t>Ochránit nástěnnou malbu nad jevištěm odbornou firmou (ochranné bandáže, event. snesení a restaurování a po opravě nanesení na původní místo).</w:t>
      </w:r>
    </w:p>
    <w:p w:rsidR="008D5ACC" w:rsidRPr="008D5ACC" w:rsidRDefault="008D5ACC" w:rsidP="00FE3B10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D5ACC">
        <w:rPr>
          <w:sz w:val="24"/>
          <w:szCs w:val="24"/>
        </w:rPr>
        <w:t>Zdokumentování a zaměření štítů fasády, které budou dotčené demontáží krovu.</w:t>
      </w:r>
    </w:p>
    <w:p w:rsidR="008D5ACC" w:rsidRPr="008D5ACC" w:rsidRDefault="008D5ACC" w:rsidP="00FE3B10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D5ACC">
        <w:rPr>
          <w:sz w:val="24"/>
          <w:szCs w:val="24"/>
        </w:rPr>
        <w:t>Zdokumentování a zaměření prvků střechy před celkovou demontáží – věžička.</w:t>
      </w:r>
    </w:p>
    <w:p w:rsidR="008D5ACC" w:rsidRPr="008D5ACC" w:rsidRDefault="008D5ACC" w:rsidP="00FE3B10">
      <w:pPr>
        <w:pStyle w:val="Odstavecseseznamem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8D5ACC">
        <w:rPr>
          <w:sz w:val="24"/>
          <w:szCs w:val="24"/>
        </w:rPr>
        <w:t xml:space="preserve">Zhotovení projektu statického zajištění krovu sálu a event. nutné odstranění podhledu velkého sálu </w:t>
      </w:r>
    </w:p>
    <w:p w:rsidR="008D5ACC" w:rsidRPr="008D5ACC" w:rsidRDefault="008D5ACC" w:rsidP="008D5ACC">
      <w:pPr>
        <w:pStyle w:val="Odstavecseseznamem"/>
        <w:ind w:left="360"/>
        <w:rPr>
          <w:b/>
          <w:sz w:val="24"/>
          <w:szCs w:val="24"/>
        </w:rPr>
      </w:pPr>
    </w:p>
    <w:p w:rsidR="008D5ACC" w:rsidRPr="008D5ACC" w:rsidRDefault="008D5ACC" w:rsidP="008D5ACC">
      <w:pPr>
        <w:jc w:val="both"/>
        <w:rPr>
          <w:b/>
          <w:sz w:val="24"/>
          <w:szCs w:val="24"/>
        </w:rPr>
      </w:pPr>
      <w:r w:rsidRPr="008D5ACC">
        <w:rPr>
          <w:b/>
          <w:sz w:val="24"/>
          <w:szCs w:val="24"/>
        </w:rPr>
        <w:t>Varianta A</w:t>
      </w:r>
      <w:r w:rsidR="00FE3B10">
        <w:rPr>
          <w:b/>
          <w:sz w:val="24"/>
          <w:szCs w:val="24"/>
        </w:rPr>
        <w:t>)</w:t>
      </w:r>
      <w:r w:rsidRPr="008D5ACC">
        <w:rPr>
          <w:b/>
          <w:sz w:val="24"/>
          <w:szCs w:val="24"/>
        </w:rPr>
        <w:t xml:space="preserve"> „minimální“ – oprava velkého sálu a přilehlých prostor, včetně zázemí pro účinkující</w:t>
      </w:r>
    </w:p>
    <w:p w:rsidR="008D5ACC" w:rsidRP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i/>
          <w:sz w:val="24"/>
          <w:szCs w:val="24"/>
        </w:rPr>
      </w:pPr>
      <w:r w:rsidRPr="008D5ACC">
        <w:rPr>
          <w:i/>
          <w:sz w:val="24"/>
          <w:szCs w:val="24"/>
        </w:rPr>
        <w:t>Odhad investičních nákladů:</w:t>
      </w:r>
    </w:p>
    <w:p w:rsidR="008D5ACC" w:rsidRPr="00802121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Odhad cca </w:t>
      </w:r>
      <w:r w:rsidRPr="008D5ACC">
        <w:rPr>
          <w:b/>
          <w:sz w:val="24"/>
          <w:szCs w:val="24"/>
        </w:rPr>
        <w:t>210</w:t>
      </w:r>
      <w:r>
        <w:rPr>
          <w:b/>
          <w:sz w:val="24"/>
          <w:szCs w:val="24"/>
        </w:rPr>
        <w:t> </w:t>
      </w:r>
      <w:r w:rsidRPr="008D5ACC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</w:t>
      </w:r>
      <w:r w:rsidRPr="008D5ACC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</w:t>
      </w:r>
      <w:r w:rsidRPr="008D5ACC">
        <w:rPr>
          <w:b/>
          <w:sz w:val="24"/>
          <w:szCs w:val="24"/>
        </w:rPr>
        <w:t xml:space="preserve">Kč bez </w:t>
      </w:r>
      <w:r w:rsidRPr="00802121">
        <w:rPr>
          <w:b/>
          <w:sz w:val="24"/>
          <w:szCs w:val="24"/>
        </w:rPr>
        <w:t>DPH</w:t>
      </w:r>
      <w:r w:rsidRPr="007F07F6">
        <w:rPr>
          <w:b/>
          <w:sz w:val="24"/>
          <w:szCs w:val="24"/>
        </w:rPr>
        <w:t xml:space="preserve"> (cca 254 221 000 s DPH)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Jedná se o předběžný odhad podle obestavěného prostoru, celkové náklady se mohou změnit po vyhotovení sond a průzkumů (statické sondy, sanační sondy, atd</w:t>
      </w:r>
      <w:r>
        <w:rPr>
          <w:sz w:val="24"/>
          <w:szCs w:val="24"/>
        </w:rPr>
        <w:t>.</w:t>
      </w:r>
      <w:r w:rsidRPr="008D5ACC">
        <w:rPr>
          <w:sz w:val="24"/>
          <w:szCs w:val="24"/>
        </w:rPr>
        <w:t>)</w:t>
      </w:r>
    </w:p>
    <w:p w:rsidR="008D5ACC" w:rsidRP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i/>
          <w:sz w:val="24"/>
          <w:szCs w:val="24"/>
        </w:rPr>
      </w:pPr>
      <w:r w:rsidRPr="008D5ACC">
        <w:rPr>
          <w:i/>
          <w:sz w:val="24"/>
          <w:szCs w:val="24"/>
        </w:rPr>
        <w:t>Rozsah základních stavebních prací: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Odstranění střešní krytiny, klempířských prvků a celého krovu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Odstranění zděných štítů, na které bezprostředně navazuje krov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Odstranění napadeného zdiva dřevomorkou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Nový železobetonový věnec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Realizace nového krovu – kopie původní konstrukce, včetně navazujících konstrukcí (věžička, 3x štít fasády)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Nová krytina, klempířské prvky a hromosvod 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Doplnění vzduchotechniky pro velký sál, event. i chlazení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Kompletní sanace vlhkého zdiva a oprava navazujícího anglického dvorku (v ulici Pobřežní)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Nová elektroinstalace a rozvody slaboproudé techniky, nové osvětlení 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Nová EZS a EPS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Nové okna a dveře (interiérové a exteriérové), okna předpoklad repase původních konstrukcí, pokud to bude možné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Oprava jeviště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Odstranění novodobých dřevěných obkladů, které zakrývají znehodnocenou štukovou výzdobu sálu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Kompletní rekonstrukce štukové výzdoby sálu, včetně doplnění chybějící výzdoby v přízemí sálu (celá stěna navazující na anglický dvorek)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Kompletní oprava „boxerského sálu“ v 2.</w:t>
      </w:r>
      <w:r>
        <w:rPr>
          <w:sz w:val="24"/>
          <w:szCs w:val="24"/>
        </w:rPr>
        <w:t xml:space="preserve"> PP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Kompletní rekonstrukce zázemí pro účinkující a vstupu se šatnou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Rekonstrukce fasády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Rekonstrukce odvodu dešťových vod</w:t>
      </w:r>
    </w:p>
    <w:p w:rsidR="008D5ACC" w:rsidRPr="008D5ACC" w:rsidRDefault="008D5ACC" w:rsidP="008D5ACC">
      <w:pPr>
        <w:pStyle w:val="Odstavecseseznamem"/>
        <w:ind w:left="360"/>
        <w:rPr>
          <w:sz w:val="24"/>
          <w:szCs w:val="24"/>
        </w:rPr>
      </w:pPr>
    </w:p>
    <w:p w:rsidR="008D5ACC" w:rsidRPr="008D5ACC" w:rsidRDefault="008D5ACC" w:rsidP="008D5ACC">
      <w:pPr>
        <w:rPr>
          <w:i/>
          <w:sz w:val="24"/>
          <w:szCs w:val="24"/>
        </w:rPr>
      </w:pPr>
      <w:r w:rsidRPr="008D5ACC">
        <w:rPr>
          <w:i/>
          <w:sz w:val="24"/>
          <w:szCs w:val="24"/>
        </w:rPr>
        <w:t xml:space="preserve">Potřebné přípravné a administrativně projekční práce: </w:t>
      </w:r>
    </w:p>
    <w:p w:rsidR="008D5ACC" w:rsidRPr="008D5ACC" w:rsidRDefault="008D5ACC" w:rsidP="008D5ACC">
      <w:pPr>
        <w:jc w:val="both"/>
        <w:rPr>
          <w:sz w:val="24"/>
          <w:szCs w:val="24"/>
        </w:rPr>
      </w:pPr>
      <w:r w:rsidRPr="008D5ACC">
        <w:rPr>
          <w:sz w:val="24"/>
          <w:szCs w:val="24"/>
        </w:rPr>
        <w:t xml:space="preserve">Pro odhad ceny projekčních prací byla použita metodika Honorářového řádu České komory architektů, včetně výkonových projektových fází. </w:t>
      </w:r>
    </w:p>
    <w:p w:rsidR="008D5ACC" w:rsidRDefault="008D5ACC" w:rsidP="008D5ACC">
      <w:pPr>
        <w:rPr>
          <w:sz w:val="24"/>
          <w:szCs w:val="24"/>
        </w:rPr>
      </w:pPr>
      <w:r w:rsidRPr="008D5ACC">
        <w:rPr>
          <w:sz w:val="24"/>
          <w:szCs w:val="24"/>
        </w:rPr>
        <w:t>Nutné definovat nový provoz v boxerském sálu v 2.</w:t>
      </w:r>
      <w:r>
        <w:rPr>
          <w:sz w:val="24"/>
          <w:szCs w:val="24"/>
        </w:rPr>
        <w:t xml:space="preserve"> PP</w:t>
      </w:r>
    </w:p>
    <w:p w:rsid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b/>
          <w:sz w:val="24"/>
          <w:szCs w:val="24"/>
        </w:rPr>
      </w:pPr>
      <w:r w:rsidRPr="008D5ACC">
        <w:rPr>
          <w:b/>
          <w:sz w:val="24"/>
          <w:szCs w:val="24"/>
        </w:rPr>
        <w:t>Předpokládaný časový harmonogram: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Studie pro výběr projektanta (cca 3-4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Výběrové řízení na projektanta, </w:t>
      </w:r>
      <w:proofErr w:type="spellStart"/>
      <w:r w:rsidRPr="008D5ACC">
        <w:rPr>
          <w:sz w:val="24"/>
          <w:szCs w:val="24"/>
        </w:rPr>
        <w:t>SoD</w:t>
      </w:r>
      <w:proofErr w:type="spellEnd"/>
      <w:r w:rsidRPr="008D5ACC">
        <w:rPr>
          <w:sz w:val="24"/>
          <w:szCs w:val="24"/>
        </w:rPr>
        <w:t xml:space="preserve"> (cca 2-3 měsíce)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Projektová dokumentace pro SP včetně všech vyjádření (cca 4-5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Stavební povolení (cca 3-4 měsíce)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Projektová dokumentace pro realizaci a výběr dodavatele (cca 6-7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Výběrové řízení na dodavatele stavby, </w:t>
      </w:r>
      <w:proofErr w:type="spellStart"/>
      <w:r w:rsidRPr="008D5ACC">
        <w:rPr>
          <w:sz w:val="24"/>
          <w:szCs w:val="24"/>
        </w:rPr>
        <w:t>SoD</w:t>
      </w:r>
      <w:proofErr w:type="spellEnd"/>
      <w:r w:rsidRPr="008D5ACC">
        <w:rPr>
          <w:sz w:val="24"/>
          <w:szCs w:val="24"/>
        </w:rPr>
        <w:t xml:space="preserve"> (cca 6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Realizace díla (cca 16-24 měsíců)</w:t>
      </w:r>
    </w:p>
    <w:p w:rsid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Kolaudace</w:t>
      </w:r>
    </w:p>
    <w:p w:rsidR="008D5ACC" w:rsidRPr="00FE3B10" w:rsidRDefault="008D5ACC" w:rsidP="008D5ACC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FE3B10">
        <w:rPr>
          <w:b/>
          <w:sz w:val="24"/>
          <w:szCs w:val="24"/>
        </w:rPr>
        <w:t>Celkem: 40 až 49 měsíců</w:t>
      </w:r>
    </w:p>
    <w:p w:rsidR="008D5ACC" w:rsidRPr="008D5ACC" w:rsidRDefault="008D5ACC" w:rsidP="008D5ACC">
      <w:pPr>
        <w:pStyle w:val="Odstavecseseznamem"/>
        <w:ind w:left="360"/>
        <w:rPr>
          <w:sz w:val="24"/>
          <w:szCs w:val="24"/>
        </w:rPr>
      </w:pPr>
    </w:p>
    <w:p w:rsidR="008D5ACC" w:rsidRPr="008D5ACC" w:rsidRDefault="008D5ACC" w:rsidP="008D5ACC">
      <w:pPr>
        <w:pStyle w:val="Odstavecseseznamem"/>
        <w:ind w:left="0"/>
        <w:jc w:val="both"/>
        <w:rPr>
          <w:sz w:val="24"/>
          <w:szCs w:val="24"/>
        </w:rPr>
      </w:pPr>
      <w:r w:rsidRPr="008D5ACC">
        <w:rPr>
          <w:sz w:val="24"/>
          <w:szCs w:val="24"/>
        </w:rPr>
        <w:t>Při této variantě bude část se společenským sálem, včetně zázemí, schopná samostatného provozu, bude využit původní hlavní vchod z ulice Pobřežní. Provoz velkého sálu bude oddělen od zbylé části objektu KD Peklo (muzeum PMP, kanceláře, bývalá restaurace a kuchyně, malý sál v havarijním stavu).</w:t>
      </w:r>
    </w:p>
    <w:p w:rsidR="008D5ACC" w:rsidRPr="008D5ACC" w:rsidRDefault="008D5ACC" w:rsidP="008D5ACC">
      <w:pPr>
        <w:rPr>
          <w:b/>
          <w:sz w:val="24"/>
          <w:szCs w:val="24"/>
        </w:rPr>
      </w:pPr>
    </w:p>
    <w:p w:rsidR="008D5ACC" w:rsidRPr="008D5ACC" w:rsidRDefault="008D5ACC" w:rsidP="008D5ACC">
      <w:pPr>
        <w:rPr>
          <w:b/>
          <w:sz w:val="24"/>
          <w:szCs w:val="24"/>
        </w:rPr>
      </w:pPr>
      <w:r w:rsidRPr="008D5ACC">
        <w:rPr>
          <w:b/>
          <w:sz w:val="24"/>
          <w:szCs w:val="24"/>
        </w:rPr>
        <w:t xml:space="preserve">Varianta </w:t>
      </w:r>
      <w:r>
        <w:rPr>
          <w:b/>
          <w:sz w:val="24"/>
          <w:szCs w:val="24"/>
        </w:rPr>
        <w:t>B</w:t>
      </w:r>
      <w:r w:rsidR="00FE3B10">
        <w:rPr>
          <w:b/>
          <w:sz w:val="24"/>
          <w:szCs w:val="24"/>
        </w:rPr>
        <w:t>)</w:t>
      </w:r>
      <w:r w:rsidRPr="008D5ACC">
        <w:rPr>
          <w:b/>
          <w:sz w:val="24"/>
          <w:szCs w:val="24"/>
        </w:rPr>
        <w:t xml:space="preserve"> „maximální“ – celková rekonstrukce objektu KD Peklo </w:t>
      </w:r>
    </w:p>
    <w:p w:rsidR="008D5ACC" w:rsidRP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i/>
          <w:sz w:val="24"/>
          <w:szCs w:val="24"/>
        </w:rPr>
      </w:pPr>
      <w:r w:rsidRPr="008D5ACC">
        <w:rPr>
          <w:i/>
          <w:sz w:val="24"/>
          <w:szCs w:val="24"/>
        </w:rPr>
        <w:t>Odhad investičních nákladů: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Odhad cca </w:t>
      </w:r>
      <w:r w:rsidRPr="008D5ACC">
        <w:rPr>
          <w:b/>
          <w:sz w:val="24"/>
          <w:szCs w:val="24"/>
        </w:rPr>
        <w:t>420</w:t>
      </w:r>
      <w:r>
        <w:rPr>
          <w:b/>
          <w:sz w:val="24"/>
          <w:szCs w:val="24"/>
        </w:rPr>
        <w:t xml:space="preserve"> </w:t>
      </w:r>
      <w:r w:rsidRPr="008D5ACC">
        <w:rPr>
          <w:b/>
          <w:sz w:val="24"/>
          <w:szCs w:val="24"/>
        </w:rPr>
        <w:t>5000</w:t>
      </w:r>
      <w:r>
        <w:rPr>
          <w:b/>
          <w:sz w:val="24"/>
          <w:szCs w:val="24"/>
        </w:rPr>
        <w:t xml:space="preserve"> </w:t>
      </w:r>
      <w:r w:rsidRPr="008D5AC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8D5ACC">
        <w:rPr>
          <w:b/>
          <w:sz w:val="24"/>
          <w:szCs w:val="24"/>
        </w:rPr>
        <w:t>Kč bez DPH</w:t>
      </w:r>
      <w:r w:rsidRPr="008D5ACC">
        <w:rPr>
          <w:sz w:val="24"/>
          <w:szCs w:val="24"/>
        </w:rPr>
        <w:t xml:space="preserve"> </w:t>
      </w:r>
      <w:r w:rsidRPr="007F07F6">
        <w:rPr>
          <w:b/>
          <w:sz w:val="24"/>
          <w:szCs w:val="24"/>
        </w:rPr>
        <w:t>(cca 508</w:t>
      </w:r>
      <w:r w:rsidR="00802121" w:rsidRPr="007F07F6">
        <w:rPr>
          <w:b/>
          <w:sz w:val="24"/>
          <w:szCs w:val="24"/>
        </w:rPr>
        <w:t> </w:t>
      </w:r>
      <w:r w:rsidRPr="007F07F6">
        <w:rPr>
          <w:b/>
          <w:sz w:val="24"/>
          <w:szCs w:val="24"/>
        </w:rPr>
        <w:t>805</w:t>
      </w:r>
      <w:r w:rsidR="00802121" w:rsidRPr="007F07F6">
        <w:rPr>
          <w:b/>
          <w:sz w:val="24"/>
          <w:szCs w:val="24"/>
        </w:rPr>
        <w:t xml:space="preserve"> </w:t>
      </w:r>
      <w:r w:rsidRPr="007F07F6">
        <w:rPr>
          <w:b/>
          <w:sz w:val="24"/>
          <w:szCs w:val="24"/>
        </w:rPr>
        <w:t>000 s DPH)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Jedná se o předběžný odhad podle obestavěného prostoru, celkové náklady se mohou změnit po vyhotovení sond a průzkumů (statické sondy, sanační sondy, atd</w:t>
      </w:r>
      <w:r>
        <w:rPr>
          <w:sz w:val="24"/>
          <w:szCs w:val="24"/>
        </w:rPr>
        <w:t>.</w:t>
      </w:r>
      <w:r w:rsidRPr="008D5ACC">
        <w:rPr>
          <w:sz w:val="24"/>
          <w:szCs w:val="24"/>
        </w:rPr>
        <w:t>)</w:t>
      </w:r>
    </w:p>
    <w:p w:rsidR="008D5ACC" w:rsidRP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i/>
          <w:sz w:val="24"/>
          <w:szCs w:val="24"/>
        </w:rPr>
      </w:pPr>
      <w:r w:rsidRPr="008D5ACC">
        <w:rPr>
          <w:i/>
          <w:sz w:val="24"/>
          <w:szCs w:val="24"/>
        </w:rPr>
        <w:t>Rozsah základních stavebních prací: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Budou provedeny práce uvedené ve Variantě A „minimální“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Kompletní rekonstrukce celého objektu – sanace zdiva v suterénu, oprava malého sálu v 2.</w:t>
      </w:r>
      <w:r w:rsidR="00FE3B10">
        <w:rPr>
          <w:sz w:val="24"/>
          <w:szCs w:val="24"/>
        </w:rPr>
        <w:t xml:space="preserve"> NP</w:t>
      </w:r>
      <w:r w:rsidRPr="008D5ACC">
        <w:rPr>
          <w:sz w:val="24"/>
          <w:szCs w:val="24"/>
        </w:rPr>
        <w:t xml:space="preserve"> (v současné době v havarijním stavu a podepřen), rekonstrukce všech střech včetně krovu, výměna a repase všech oken a dveří (exteriér a interiér), rekonstrukce fasád, doplnění vzduchotechniky podle nového účelu využití, výměna podlah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Úprava dvora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Vyřešení parkování v klidu podle ČSN, bude záležet na nové funkci využití </w:t>
      </w:r>
    </w:p>
    <w:p w:rsid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b/>
          <w:sz w:val="24"/>
          <w:szCs w:val="24"/>
        </w:rPr>
      </w:pPr>
      <w:r w:rsidRPr="008D5ACC">
        <w:rPr>
          <w:b/>
          <w:sz w:val="24"/>
          <w:szCs w:val="24"/>
        </w:rPr>
        <w:t>Předpokládaný časový harmonogram:</w:t>
      </w:r>
    </w:p>
    <w:p w:rsidR="008D5ACC" w:rsidRPr="008D5ACC" w:rsidRDefault="008D5ACC" w:rsidP="008D5ACC">
      <w:pPr>
        <w:rPr>
          <w:i/>
          <w:sz w:val="24"/>
          <w:szCs w:val="24"/>
        </w:rPr>
      </w:pPr>
      <w:r w:rsidRPr="008D5ACC">
        <w:rPr>
          <w:i/>
          <w:sz w:val="24"/>
          <w:szCs w:val="24"/>
        </w:rPr>
        <w:t xml:space="preserve">Potřebné přípravné a administrativně projekční práce: 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Studie pro výběr projektanta (4-5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Výběrové řízení na projektanta, </w:t>
      </w:r>
      <w:proofErr w:type="spellStart"/>
      <w:r w:rsidRPr="008D5ACC">
        <w:rPr>
          <w:sz w:val="24"/>
          <w:szCs w:val="24"/>
        </w:rPr>
        <w:t>SoD</w:t>
      </w:r>
      <w:proofErr w:type="spellEnd"/>
      <w:r w:rsidRPr="008D5ACC">
        <w:rPr>
          <w:sz w:val="24"/>
          <w:szCs w:val="24"/>
        </w:rPr>
        <w:t xml:space="preserve"> (cca 2-3 měsíce)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Projektová dokumentace pro SP včetně všech vyjádření (cca 5-6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Stavební povolení (cca 3-4 měsíce)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Projektová dokumentace pro realizaci a výběr dodavatele (cca 6-7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 xml:space="preserve">Výběrové řízení na dodavatele stavby, </w:t>
      </w:r>
      <w:proofErr w:type="spellStart"/>
      <w:r w:rsidRPr="008D5ACC">
        <w:rPr>
          <w:sz w:val="24"/>
          <w:szCs w:val="24"/>
        </w:rPr>
        <w:t>SoD</w:t>
      </w:r>
      <w:proofErr w:type="spellEnd"/>
      <w:r w:rsidRPr="008D5ACC">
        <w:rPr>
          <w:sz w:val="24"/>
          <w:szCs w:val="24"/>
        </w:rPr>
        <w:t xml:space="preserve"> (cca 6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Realizace díla (cca 24-30 měsíců)</w:t>
      </w:r>
    </w:p>
    <w:p w:rsidR="008D5ACC" w:rsidRPr="008D5ACC" w:rsidRDefault="008D5ACC" w:rsidP="008D5A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D5ACC">
        <w:rPr>
          <w:sz w:val="24"/>
          <w:szCs w:val="24"/>
        </w:rPr>
        <w:t>Kolaudace</w:t>
      </w:r>
    </w:p>
    <w:p w:rsidR="00FE3B10" w:rsidRPr="00FE3B10" w:rsidRDefault="00FE3B10" w:rsidP="00FE3B10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FE3B10">
        <w:rPr>
          <w:b/>
          <w:sz w:val="24"/>
          <w:szCs w:val="24"/>
        </w:rPr>
        <w:t>Celkem: 50 až 61 měsíců</w:t>
      </w:r>
    </w:p>
    <w:p w:rsid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rPr>
          <w:sz w:val="24"/>
          <w:szCs w:val="24"/>
        </w:rPr>
      </w:pPr>
    </w:p>
    <w:p w:rsidR="008D5ACC" w:rsidRPr="008D5ACC" w:rsidRDefault="008D5ACC" w:rsidP="008D5ACC">
      <w:pPr>
        <w:jc w:val="both"/>
        <w:rPr>
          <w:sz w:val="24"/>
          <w:szCs w:val="24"/>
        </w:rPr>
      </w:pPr>
      <w:r w:rsidRPr="008D5ACC">
        <w:rPr>
          <w:sz w:val="24"/>
          <w:szCs w:val="24"/>
        </w:rPr>
        <w:t xml:space="preserve">Pro variantu rekonstrukce celého objektu KD Peklo </w:t>
      </w:r>
      <w:r w:rsidRPr="008D5ACC">
        <w:rPr>
          <w:b/>
          <w:sz w:val="24"/>
          <w:szCs w:val="24"/>
        </w:rPr>
        <w:t>je nutné definovat nové využití prostor, které bezprostředně nesouvisí s provozem velkého sálu</w:t>
      </w:r>
      <w:r w:rsidRPr="008D5ACC">
        <w:rPr>
          <w:sz w:val="24"/>
          <w:szCs w:val="24"/>
        </w:rPr>
        <w:t xml:space="preserve">. Při této variantě bude společenský sál s přilehlým zázemím schopný samostatného provozu, bude využit původní hlavní vchod z ulice Pobřežní. Provoz velkého sálu bude oddělen od zbylé části objektu KD Peklo (muzeum PMP, kanceláře, bývalá restaurace a kuchyně, malý sál v havarijním stavu). Teprve po upřesnění budoucího využití této části objektu KD Peklo lze zpracovat projekt celkové rekonstrukce objektu. </w:t>
      </w:r>
    </w:p>
    <w:p w:rsidR="008D5ACC" w:rsidRPr="008D5ACC" w:rsidRDefault="008D5ACC" w:rsidP="008D5ACC">
      <w:pPr>
        <w:jc w:val="both"/>
        <w:rPr>
          <w:sz w:val="24"/>
          <w:szCs w:val="24"/>
        </w:rPr>
      </w:pPr>
    </w:p>
    <w:p w:rsidR="008D5ACC" w:rsidRPr="008D5ACC" w:rsidRDefault="008D5ACC" w:rsidP="008D5ACC">
      <w:pPr>
        <w:jc w:val="both"/>
        <w:rPr>
          <w:b/>
          <w:sz w:val="24"/>
          <w:szCs w:val="24"/>
        </w:rPr>
      </w:pPr>
      <w:r w:rsidRPr="008D5ACC">
        <w:rPr>
          <w:b/>
          <w:sz w:val="24"/>
          <w:szCs w:val="24"/>
        </w:rPr>
        <w:t>Poznámky:</w:t>
      </w:r>
    </w:p>
    <w:p w:rsidR="008D5ACC" w:rsidRPr="008D5ACC" w:rsidRDefault="008D5ACC" w:rsidP="008D5ACC">
      <w:pPr>
        <w:ind w:left="360"/>
        <w:jc w:val="both"/>
        <w:rPr>
          <w:sz w:val="24"/>
          <w:szCs w:val="24"/>
        </w:rPr>
      </w:pPr>
    </w:p>
    <w:p w:rsidR="008D5ACC" w:rsidRPr="008D5ACC" w:rsidRDefault="008D5ACC" w:rsidP="00FE3B10">
      <w:pPr>
        <w:numPr>
          <w:ilvl w:val="0"/>
          <w:numId w:val="7"/>
        </w:numPr>
        <w:tabs>
          <w:tab w:val="clear" w:pos="1065"/>
          <w:tab w:val="num" w:pos="284"/>
        </w:tabs>
        <w:ind w:left="284" w:hanging="284"/>
        <w:jc w:val="both"/>
        <w:rPr>
          <w:sz w:val="24"/>
          <w:szCs w:val="24"/>
        </w:rPr>
      </w:pPr>
      <w:r w:rsidRPr="008D5ACC">
        <w:rPr>
          <w:sz w:val="24"/>
          <w:szCs w:val="24"/>
        </w:rPr>
        <w:t>Předpoklad u projekční přípravy - nebude výrazně změněna funkce využití celého objektu KD Peklo, tím nebude nutné projít územním řízením, ale pouze stavebním povolením.</w:t>
      </w:r>
    </w:p>
    <w:p w:rsidR="008D5ACC" w:rsidRPr="008D5ACC" w:rsidRDefault="008D5ACC" w:rsidP="00FE3B10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8D5ACC" w:rsidRPr="008D5ACC" w:rsidRDefault="008D5ACC" w:rsidP="00FE3B10">
      <w:pPr>
        <w:numPr>
          <w:ilvl w:val="0"/>
          <w:numId w:val="7"/>
        </w:numPr>
        <w:tabs>
          <w:tab w:val="clear" w:pos="1065"/>
          <w:tab w:val="num" w:pos="284"/>
        </w:tabs>
        <w:ind w:left="284" w:hanging="284"/>
        <w:jc w:val="both"/>
        <w:rPr>
          <w:sz w:val="24"/>
          <w:szCs w:val="24"/>
        </w:rPr>
      </w:pPr>
      <w:r w:rsidRPr="008D5ACC">
        <w:rPr>
          <w:sz w:val="24"/>
          <w:szCs w:val="24"/>
        </w:rPr>
        <w:t>V návaznosti na nové využití objektu KD Peklo bude nutné vyřešit dopravu v klidu dle platné ČSN, to znamená vyřešit parkování pro celý objekt, lze předpokládat výjimku pro objekty v historickém centru (samostatné řízení před stavebním řízením).</w:t>
      </w:r>
    </w:p>
    <w:p w:rsidR="008D5ACC" w:rsidRPr="008D5ACC" w:rsidRDefault="008D5ACC" w:rsidP="00FE3B10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8D5ACC" w:rsidRPr="008D5ACC" w:rsidRDefault="008D5ACC" w:rsidP="00FE3B10">
      <w:pPr>
        <w:numPr>
          <w:ilvl w:val="0"/>
          <w:numId w:val="7"/>
        </w:numPr>
        <w:tabs>
          <w:tab w:val="clear" w:pos="1065"/>
          <w:tab w:val="num" w:pos="284"/>
        </w:tabs>
        <w:ind w:left="284" w:hanging="284"/>
        <w:jc w:val="both"/>
        <w:rPr>
          <w:sz w:val="24"/>
          <w:szCs w:val="24"/>
        </w:rPr>
      </w:pPr>
      <w:r w:rsidRPr="008D5ACC">
        <w:rPr>
          <w:sz w:val="24"/>
          <w:szCs w:val="24"/>
        </w:rPr>
        <w:t xml:space="preserve">Pro odhad ceny projekčních prací byl použit Honorářový řád České komory architektů, honorářová zóna V. </w:t>
      </w:r>
    </w:p>
    <w:p w:rsidR="008D5ACC" w:rsidRPr="008D5ACC" w:rsidRDefault="008D5ACC" w:rsidP="00FE3B10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8D5ACC" w:rsidRPr="008D5ACC" w:rsidRDefault="008D5ACC" w:rsidP="00FE3B10">
      <w:pPr>
        <w:numPr>
          <w:ilvl w:val="0"/>
          <w:numId w:val="7"/>
        </w:numPr>
        <w:tabs>
          <w:tab w:val="clear" w:pos="1065"/>
          <w:tab w:val="num" w:pos="284"/>
        </w:tabs>
        <w:ind w:left="284" w:hanging="284"/>
        <w:jc w:val="both"/>
        <w:rPr>
          <w:sz w:val="24"/>
          <w:szCs w:val="24"/>
        </w:rPr>
      </w:pPr>
      <w:r w:rsidRPr="008D5ACC">
        <w:rPr>
          <w:sz w:val="24"/>
          <w:szCs w:val="24"/>
        </w:rPr>
        <w:t>V případě dostavby parkování do dvorní části nebo v případě přestavby zázemí pro účinkující (viz zpracovaná studie vyžití z roku 2013, zpracovatel Atelier A CZ, s.r.o.) bude nutné zahrnout do projektových fází ještě „projekt pro umístění stavby“</w:t>
      </w:r>
    </w:p>
    <w:p w:rsidR="006E3018" w:rsidRPr="008D5ACC" w:rsidRDefault="006E3018" w:rsidP="00E42136">
      <w:pPr>
        <w:pStyle w:val="Odstavecseseznamem"/>
        <w:ind w:left="0"/>
        <w:jc w:val="both"/>
        <w:rPr>
          <w:sz w:val="24"/>
          <w:szCs w:val="24"/>
        </w:rPr>
      </w:pPr>
    </w:p>
    <w:p w:rsidR="008D5ACC" w:rsidRDefault="008D5ACC" w:rsidP="00E42136">
      <w:pPr>
        <w:pStyle w:val="Odstavecseseznamem"/>
        <w:ind w:left="0"/>
        <w:jc w:val="both"/>
        <w:rPr>
          <w:sz w:val="24"/>
          <w:szCs w:val="24"/>
        </w:rPr>
      </w:pPr>
    </w:p>
    <w:p w:rsidR="00440ED7" w:rsidRDefault="00440ED7" w:rsidP="00E42136">
      <w:pPr>
        <w:pStyle w:val="Odstavecseseznamem"/>
        <w:ind w:left="0"/>
        <w:jc w:val="both"/>
        <w:rPr>
          <w:sz w:val="24"/>
          <w:szCs w:val="24"/>
        </w:rPr>
      </w:pPr>
    </w:p>
    <w:p w:rsidR="00802121" w:rsidRPr="007F07F6" w:rsidRDefault="0036371C" w:rsidP="007F07F6">
      <w:pPr>
        <w:rPr>
          <w:b/>
          <w:i/>
          <w:sz w:val="24"/>
          <w:szCs w:val="24"/>
          <w:u w:val="single"/>
        </w:rPr>
      </w:pPr>
      <w:r w:rsidRPr="007F07F6">
        <w:rPr>
          <w:b/>
          <w:i/>
          <w:sz w:val="24"/>
          <w:szCs w:val="24"/>
          <w:u w:val="single"/>
        </w:rPr>
        <w:t>Analýza m</w:t>
      </w:r>
      <w:r w:rsidR="00802121" w:rsidRPr="007F07F6">
        <w:rPr>
          <w:b/>
          <w:i/>
          <w:sz w:val="24"/>
          <w:szCs w:val="24"/>
          <w:u w:val="single"/>
        </w:rPr>
        <w:t>ožnost</w:t>
      </w:r>
      <w:r w:rsidRPr="007F07F6">
        <w:rPr>
          <w:b/>
          <w:i/>
          <w:sz w:val="24"/>
          <w:szCs w:val="24"/>
          <w:u w:val="single"/>
        </w:rPr>
        <w:t>í</w:t>
      </w:r>
      <w:r w:rsidR="00802121" w:rsidRPr="007F07F6">
        <w:rPr>
          <w:b/>
          <w:i/>
          <w:sz w:val="24"/>
          <w:szCs w:val="24"/>
          <w:u w:val="single"/>
        </w:rPr>
        <w:t xml:space="preserve"> financování projektu</w:t>
      </w:r>
    </w:p>
    <w:p w:rsidR="0036371C" w:rsidRDefault="0036371C" w:rsidP="007A48A9">
      <w:pPr>
        <w:jc w:val="both"/>
        <w:rPr>
          <w:sz w:val="24"/>
          <w:szCs w:val="24"/>
        </w:rPr>
      </w:pPr>
    </w:p>
    <w:p w:rsidR="001B0E9F" w:rsidRDefault="00802121" w:rsidP="007A4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době má město uzavřenu </w:t>
      </w:r>
      <w:r w:rsidRPr="00440ED7">
        <w:rPr>
          <w:b/>
          <w:sz w:val="24"/>
          <w:szCs w:val="24"/>
        </w:rPr>
        <w:t>rámcovou smlouvu s Evropskou investiční bankou</w:t>
      </w:r>
      <w:r>
        <w:rPr>
          <w:sz w:val="24"/>
          <w:szCs w:val="24"/>
        </w:rPr>
        <w:t xml:space="preserve"> na možnost čerpání úvěru až do výše 650 mil. Kč</w:t>
      </w:r>
      <w:r w:rsidR="00F62BDB">
        <w:rPr>
          <w:sz w:val="24"/>
          <w:szCs w:val="24"/>
        </w:rPr>
        <w:t xml:space="preserve"> v časovém horizontu max. do roku 2021.</w:t>
      </w:r>
      <w:r>
        <w:rPr>
          <w:sz w:val="24"/>
          <w:szCs w:val="24"/>
        </w:rPr>
        <w:t xml:space="preserve"> Základním pravidlem poskytnutí úvěru je použití úvěrových zdrojů maximálně do výše 50% celkové hodnoty financovaného projektu.</w:t>
      </w:r>
      <w:r w:rsidR="001B0E9F">
        <w:rPr>
          <w:sz w:val="24"/>
          <w:szCs w:val="24"/>
        </w:rPr>
        <w:t xml:space="preserve"> </w:t>
      </w:r>
      <w:r w:rsidR="0036371C">
        <w:rPr>
          <w:sz w:val="24"/>
          <w:szCs w:val="24"/>
        </w:rPr>
        <w:t>Poskytnutí úvěru</w:t>
      </w:r>
      <w:r w:rsidR="00381484">
        <w:rPr>
          <w:sz w:val="24"/>
          <w:szCs w:val="24"/>
        </w:rPr>
        <w:t xml:space="preserve"> EIB</w:t>
      </w:r>
      <w:r w:rsidR="0036371C">
        <w:rPr>
          <w:sz w:val="24"/>
          <w:szCs w:val="24"/>
        </w:rPr>
        <w:t xml:space="preserve"> je dále podmíněno charakterem investičního záměru, který by měl přispět k rozvoji města.</w:t>
      </w:r>
      <w:r w:rsidR="001C583A">
        <w:rPr>
          <w:sz w:val="24"/>
          <w:szCs w:val="24"/>
        </w:rPr>
        <w:t xml:space="preserve"> Lze reálně předpokládat, že by v tomto případě byla tato podmínka splněna.</w:t>
      </w:r>
      <w:r>
        <w:rPr>
          <w:sz w:val="24"/>
          <w:szCs w:val="24"/>
        </w:rPr>
        <w:t xml:space="preserve"> Z</w:t>
      </w:r>
      <w:r w:rsidR="001C583A">
        <w:rPr>
          <w:sz w:val="24"/>
          <w:szCs w:val="24"/>
        </w:rPr>
        <w:t xml:space="preserve"> výše </w:t>
      </w:r>
      <w:r>
        <w:rPr>
          <w:sz w:val="24"/>
          <w:szCs w:val="24"/>
        </w:rPr>
        <w:t>uvedeného tedy vyplývá, že město by ze svého rozpočtu či za pomoci dalšího úvěru komerční banky na českém trhu dofinancovalo</w:t>
      </w:r>
      <w:r w:rsidR="001C583A">
        <w:rPr>
          <w:sz w:val="24"/>
          <w:szCs w:val="24"/>
        </w:rPr>
        <w:t xml:space="preserve"> 50 % nákladů realizace </w:t>
      </w:r>
      <w:r>
        <w:rPr>
          <w:sz w:val="24"/>
          <w:szCs w:val="24"/>
        </w:rPr>
        <w:t xml:space="preserve">investiční akce. Protože </w:t>
      </w:r>
      <w:r w:rsidR="001B0E9F">
        <w:rPr>
          <w:sz w:val="24"/>
          <w:szCs w:val="24"/>
        </w:rPr>
        <w:t>není jisté, že další</w:t>
      </w:r>
      <w:r w:rsidR="001C583A">
        <w:rPr>
          <w:sz w:val="24"/>
          <w:szCs w:val="24"/>
        </w:rPr>
        <w:t>m</w:t>
      </w:r>
      <w:r w:rsidR="001B0E9F">
        <w:rPr>
          <w:sz w:val="24"/>
          <w:szCs w:val="24"/>
        </w:rPr>
        <w:t xml:space="preserve"> nakládání</w:t>
      </w:r>
      <w:r w:rsidR="001C583A">
        <w:rPr>
          <w:sz w:val="24"/>
          <w:szCs w:val="24"/>
        </w:rPr>
        <w:t>m</w:t>
      </w:r>
      <w:r w:rsidR="001B0E9F">
        <w:rPr>
          <w:sz w:val="24"/>
          <w:szCs w:val="24"/>
        </w:rPr>
        <w:t xml:space="preserve"> s opraveným objektem by došlo k ekonomické činnosti, je kalkulace uváděna z cen včetně DPH.</w:t>
      </w:r>
    </w:p>
    <w:p w:rsidR="00440ED7" w:rsidRDefault="00440ED7" w:rsidP="007A48A9">
      <w:pPr>
        <w:jc w:val="both"/>
        <w:rPr>
          <w:sz w:val="24"/>
          <w:szCs w:val="24"/>
        </w:rPr>
      </w:pPr>
    </w:p>
    <w:p w:rsidR="00802121" w:rsidRDefault="00802121" w:rsidP="007A48A9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varianty A)</w:t>
      </w:r>
      <w:r w:rsidR="00440ED7" w:rsidRPr="00440ED7">
        <w:rPr>
          <w:b/>
          <w:sz w:val="24"/>
          <w:szCs w:val="24"/>
        </w:rPr>
        <w:t xml:space="preserve"> </w:t>
      </w:r>
      <w:r w:rsidR="00440ED7" w:rsidRPr="008D5ACC">
        <w:rPr>
          <w:b/>
          <w:sz w:val="24"/>
          <w:szCs w:val="24"/>
        </w:rPr>
        <w:t>„</w:t>
      </w:r>
      <w:proofErr w:type="gramStart"/>
      <w:r w:rsidR="00440ED7" w:rsidRPr="008D5ACC">
        <w:rPr>
          <w:b/>
          <w:sz w:val="24"/>
          <w:szCs w:val="24"/>
        </w:rPr>
        <w:t xml:space="preserve">minimální“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skladba financování byla následující:</w:t>
      </w:r>
    </w:p>
    <w:p w:rsidR="00802121" w:rsidRDefault="00802121" w:rsidP="007A48A9">
      <w:pPr>
        <w:jc w:val="both"/>
        <w:rPr>
          <w:sz w:val="24"/>
          <w:szCs w:val="24"/>
        </w:rPr>
      </w:pPr>
      <w:r>
        <w:rPr>
          <w:sz w:val="24"/>
          <w:szCs w:val="24"/>
        </w:rPr>
        <w:t>Celkové náklady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254 221 tis. Kč  </w:t>
      </w:r>
    </w:p>
    <w:p w:rsidR="001B0E9F" w:rsidRDefault="001B0E9F" w:rsidP="007A48A9">
      <w:pPr>
        <w:jc w:val="both"/>
        <w:rPr>
          <w:sz w:val="24"/>
          <w:szCs w:val="24"/>
        </w:rPr>
      </w:pPr>
      <w:r>
        <w:rPr>
          <w:sz w:val="24"/>
          <w:szCs w:val="24"/>
        </w:rPr>
        <w:t>Úvěr EIB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127 110 tis. Kč</w:t>
      </w:r>
    </w:p>
    <w:p w:rsidR="001B0E9F" w:rsidRDefault="001B0E9F" w:rsidP="007A48A9">
      <w:pPr>
        <w:jc w:val="both"/>
        <w:rPr>
          <w:sz w:val="24"/>
          <w:szCs w:val="24"/>
        </w:rPr>
      </w:pPr>
      <w:r>
        <w:rPr>
          <w:sz w:val="24"/>
          <w:szCs w:val="24"/>
        </w:rPr>
        <w:t>Rozpočet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127 110 tis. Kč (dofinancování v průběhu 3-4 let)</w:t>
      </w:r>
    </w:p>
    <w:p w:rsidR="00440ED7" w:rsidRDefault="00440ED7" w:rsidP="001B0E9F">
      <w:pPr>
        <w:jc w:val="both"/>
        <w:rPr>
          <w:sz w:val="24"/>
          <w:szCs w:val="24"/>
        </w:rPr>
      </w:pPr>
    </w:p>
    <w:p w:rsidR="001B0E9F" w:rsidRDefault="001B0E9F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varianty B)</w:t>
      </w:r>
      <w:r w:rsidR="00440ED7" w:rsidRPr="00440ED7">
        <w:rPr>
          <w:b/>
          <w:sz w:val="24"/>
          <w:szCs w:val="24"/>
        </w:rPr>
        <w:t xml:space="preserve"> </w:t>
      </w:r>
      <w:r w:rsidR="00440ED7" w:rsidRPr="008D5ACC">
        <w:rPr>
          <w:b/>
          <w:sz w:val="24"/>
          <w:szCs w:val="24"/>
        </w:rPr>
        <w:t>„</w:t>
      </w:r>
      <w:proofErr w:type="gramStart"/>
      <w:r w:rsidR="00440ED7" w:rsidRPr="008D5ACC">
        <w:rPr>
          <w:b/>
          <w:sz w:val="24"/>
          <w:szCs w:val="24"/>
        </w:rPr>
        <w:t xml:space="preserve">maximální“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skladba financování byla následující:</w:t>
      </w:r>
    </w:p>
    <w:p w:rsidR="001B0E9F" w:rsidRDefault="001B0E9F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Celkové náklady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508 805 tis. Kč  </w:t>
      </w:r>
    </w:p>
    <w:p w:rsidR="001B0E9F" w:rsidRDefault="001B0E9F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Úvěr EIB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254 402 tis. Kč</w:t>
      </w:r>
    </w:p>
    <w:p w:rsidR="001B0E9F" w:rsidRDefault="001B0E9F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Rozpočet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254 402 tis. Kč (dofinancování v průběhu 4-5 let)</w:t>
      </w:r>
    </w:p>
    <w:p w:rsidR="001B0E9F" w:rsidRDefault="001B0E9F" w:rsidP="001B0E9F">
      <w:pPr>
        <w:jc w:val="both"/>
        <w:rPr>
          <w:sz w:val="24"/>
          <w:szCs w:val="24"/>
        </w:rPr>
      </w:pPr>
    </w:p>
    <w:p w:rsidR="00440ED7" w:rsidRDefault="001B0E9F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výdajové stránky rozpočtu by </w:t>
      </w:r>
      <w:r w:rsidR="007F07F6">
        <w:rPr>
          <w:sz w:val="24"/>
          <w:szCs w:val="24"/>
        </w:rPr>
        <w:t>pravděpodobně</w:t>
      </w:r>
      <w:r>
        <w:rPr>
          <w:sz w:val="24"/>
          <w:szCs w:val="24"/>
        </w:rPr>
        <w:t xml:space="preserve"> vedle nároku na dofinancování ve výši 127,1 mil. Kč, resp. 254,4 mil. Kč vstoupily</w:t>
      </w:r>
      <w:r w:rsidR="007F07F6">
        <w:rPr>
          <w:sz w:val="24"/>
          <w:szCs w:val="24"/>
        </w:rPr>
        <w:t xml:space="preserve"> ještě</w:t>
      </w:r>
      <w:r>
        <w:rPr>
          <w:sz w:val="24"/>
          <w:szCs w:val="24"/>
        </w:rPr>
        <w:t xml:space="preserve"> další výdaje na vybavení objektu, které nejsou</w:t>
      </w:r>
      <w:r w:rsidR="007F07F6">
        <w:rPr>
          <w:sz w:val="24"/>
          <w:szCs w:val="24"/>
        </w:rPr>
        <w:t xml:space="preserve"> v kalkulaci</w:t>
      </w:r>
      <w:r>
        <w:rPr>
          <w:sz w:val="24"/>
          <w:szCs w:val="24"/>
        </w:rPr>
        <w:t xml:space="preserve"> </w:t>
      </w:r>
      <w:r w:rsidR="007F07F6">
        <w:rPr>
          <w:sz w:val="24"/>
          <w:szCs w:val="24"/>
        </w:rPr>
        <w:t xml:space="preserve">uvažovány </w:t>
      </w:r>
      <w:r>
        <w:rPr>
          <w:sz w:val="24"/>
          <w:szCs w:val="24"/>
        </w:rPr>
        <w:t xml:space="preserve">(analogicky s jinými projekty lze předpokládat cca 50 mil. Kč). Vedle těchto jednorázových výdajů by </w:t>
      </w:r>
      <w:r w:rsidR="008701FD">
        <w:rPr>
          <w:sz w:val="24"/>
          <w:szCs w:val="24"/>
        </w:rPr>
        <w:t xml:space="preserve">byl rozpočet města zatížen </w:t>
      </w:r>
      <w:r>
        <w:rPr>
          <w:sz w:val="24"/>
          <w:szCs w:val="24"/>
        </w:rPr>
        <w:t>pravidelným výdajem</w:t>
      </w:r>
      <w:r w:rsidR="008701FD">
        <w:rPr>
          <w:sz w:val="24"/>
          <w:szCs w:val="24"/>
        </w:rPr>
        <w:t xml:space="preserve"> na splátku úvěru EIB včetně úroků</w:t>
      </w:r>
      <w:r>
        <w:rPr>
          <w:sz w:val="24"/>
          <w:szCs w:val="24"/>
        </w:rPr>
        <w:t xml:space="preserve">, která by činila </w:t>
      </w:r>
      <w:r w:rsidR="00CE5087">
        <w:rPr>
          <w:sz w:val="24"/>
          <w:szCs w:val="24"/>
        </w:rPr>
        <w:t>9 mil.</w:t>
      </w:r>
      <w:r w:rsidR="007F07F6">
        <w:rPr>
          <w:sz w:val="24"/>
          <w:szCs w:val="24"/>
        </w:rPr>
        <w:t xml:space="preserve"> </w:t>
      </w:r>
      <w:r w:rsidR="00CE5087">
        <w:rPr>
          <w:sz w:val="24"/>
          <w:szCs w:val="24"/>
        </w:rPr>
        <w:t>Kč</w:t>
      </w:r>
      <w:r w:rsidR="007F07F6">
        <w:rPr>
          <w:sz w:val="24"/>
          <w:szCs w:val="24"/>
        </w:rPr>
        <w:t xml:space="preserve"> (var. A)</w:t>
      </w:r>
      <w:r w:rsidR="00CE5087">
        <w:rPr>
          <w:sz w:val="24"/>
          <w:szCs w:val="24"/>
        </w:rPr>
        <w:t>,</w:t>
      </w:r>
      <w:r>
        <w:rPr>
          <w:sz w:val="24"/>
          <w:szCs w:val="24"/>
        </w:rPr>
        <w:t xml:space="preserve"> resp. </w:t>
      </w:r>
      <w:r w:rsidR="00571F05">
        <w:rPr>
          <w:sz w:val="24"/>
          <w:szCs w:val="24"/>
        </w:rPr>
        <w:t xml:space="preserve">17 </w:t>
      </w:r>
      <w:r w:rsidR="00CE5087">
        <w:rPr>
          <w:sz w:val="24"/>
          <w:szCs w:val="24"/>
        </w:rPr>
        <w:t>mil. Kč</w:t>
      </w:r>
      <w:r w:rsidR="007F07F6">
        <w:rPr>
          <w:sz w:val="24"/>
          <w:szCs w:val="24"/>
        </w:rPr>
        <w:t xml:space="preserve"> (var. B)</w:t>
      </w:r>
      <w:r w:rsidR="008701FD">
        <w:rPr>
          <w:sz w:val="24"/>
          <w:szCs w:val="24"/>
        </w:rPr>
        <w:t xml:space="preserve"> ročně</w:t>
      </w:r>
      <w:r>
        <w:rPr>
          <w:sz w:val="24"/>
          <w:szCs w:val="24"/>
        </w:rPr>
        <w:t>.</w:t>
      </w:r>
      <w:r w:rsidR="004412BC">
        <w:rPr>
          <w:sz w:val="24"/>
          <w:szCs w:val="24"/>
        </w:rPr>
        <w:t xml:space="preserve"> </w:t>
      </w:r>
    </w:p>
    <w:p w:rsidR="001B0E9F" w:rsidRDefault="004412BC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 nutno očekávat</w:t>
      </w:r>
      <w:r w:rsidR="00E950B3">
        <w:rPr>
          <w:sz w:val="24"/>
          <w:szCs w:val="24"/>
        </w:rPr>
        <w:t xml:space="preserve"> stálé</w:t>
      </w:r>
      <w:r>
        <w:rPr>
          <w:sz w:val="24"/>
          <w:szCs w:val="24"/>
        </w:rPr>
        <w:t xml:space="preserve"> provozní výdaje, které lze odvodit z</w:t>
      </w:r>
      <w:r w:rsidR="008701FD">
        <w:rPr>
          <w:sz w:val="24"/>
          <w:szCs w:val="24"/>
        </w:rPr>
        <w:t>e současného modelu</w:t>
      </w:r>
      <w:r>
        <w:rPr>
          <w:sz w:val="24"/>
          <w:szCs w:val="24"/>
        </w:rPr>
        <w:t xml:space="preserve"> provozování Měšťanské Besedy (dále MB). V současné době je provoz zajištěn výdaji ve výši </w:t>
      </w:r>
      <w:r w:rsidR="007F07F6">
        <w:rPr>
          <w:sz w:val="24"/>
          <w:szCs w:val="24"/>
        </w:rPr>
        <w:t>17,4 mil. Kč ročně a příjmem 6,5 mil. Kč</w:t>
      </w:r>
      <w:r>
        <w:rPr>
          <w:sz w:val="24"/>
          <w:szCs w:val="24"/>
        </w:rPr>
        <w:t xml:space="preserve"> ročně, </w:t>
      </w:r>
      <w:r w:rsidR="008701FD">
        <w:rPr>
          <w:sz w:val="24"/>
          <w:szCs w:val="24"/>
        </w:rPr>
        <w:t>potřeba</w:t>
      </w:r>
      <w:r w:rsidR="00542B77">
        <w:rPr>
          <w:sz w:val="24"/>
          <w:szCs w:val="24"/>
        </w:rPr>
        <w:t xml:space="preserve"> </w:t>
      </w:r>
      <w:proofErr w:type="gramStart"/>
      <w:r w:rsidR="008701FD">
        <w:rPr>
          <w:sz w:val="24"/>
          <w:szCs w:val="24"/>
        </w:rPr>
        <w:t xml:space="preserve">dofinancování </w:t>
      </w:r>
      <w:r w:rsidR="004F0972">
        <w:rPr>
          <w:sz w:val="24"/>
          <w:szCs w:val="24"/>
        </w:rPr>
        <w:t xml:space="preserve"> ročního</w:t>
      </w:r>
      <w:proofErr w:type="gramEnd"/>
      <w:r w:rsidR="004F0972">
        <w:rPr>
          <w:sz w:val="24"/>
          <w:szCs w:val="24"/>
        </w:rPr>
        <w:t xml:space="preserve"> </w:t>
      </w:r>
      <w:r w:rsidR="008701FD">
        <w:rPr>
          <w:sz w:val="24"/>
          <w:szCs w:val="24"/>
        </w:rPr>
        <w:t>provozu</w:t>
      </w:r>
      <w:r w:rsidR="004F0972">
        <w:rPr>
          <w:sz w:val="24"/>
          <w:szCs w:val="24"/>
        </w:rPr>
        <w:t xml:space="preserve"> z rozpočtu města</w:t>
      </w:r>
      <w:r w:rsidR="004D5B3E">
        <w:rPr>
          <w:sz w:val="24"/>
          <w:szCs w:val="24"/>
        </w:rPr>
        <w:t xml:space="preserve"> tudíž </w:t>
      </w:r>
      <w:r>
        <w:rPr>
          <w:sz w:val="24"/>
          <w:szCs w:val="24"/>
        </w:rPr>
        <w:t xml:space="preserve">činí </w:t>
      </w:r>
      <w:r w:rsidR="00E950B3">
        <w:rPr>
          <w:sz w:val="24"/>
          <w:szCs w:val="24"/>
        </w:rPr>
        <w:t>10,9 mil. Kč</w:t>
      </w:r>
      <w:r>
        <w:rPr>
          <w:sz w:val="24"/>
          <w:szCs w:val="24"/>
        </w:rPr>
        <w:t>.</w:t>
      </w:r>
    </w:p>
    <w:p w:rsidR="00440ED7" w:rsidRDefault="00440ED7" w:rsidP="001B0E9F">
      <w:pPr>
        <w:jc w:val="both"/>
        <w:rPr>
          <w:sz w:val="24"/>
          <w:szCs w:val="24"/>
        </w:rPr>
      </w:pPr>
    </w:p>
    <w:p w:rsidR="005573EC" w:rsidRDefault="00CE5087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Město dlouhodobě respektuje účel využití úvěru EIB pro strategicky důležitý projekt, kterým je rekonstrukce tramvajové vozovny Slovany. Zde není dosud zřejmé, jaká</w:t>
      </w:r>
      <w:r w:rsidR="004D5B3E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skladba financování, kolik bude možné získat dotační</w:t>
      </w:r>
      <w:r w:rsidR="004D5B3E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4D5B3E">
        <w:rPr>
          <w:sz w:val="24"/>
          <w:szCs w:val="24"/>
        </w:rPr>
        <w:t>zdrojů</w:t>
      </w:r>
      <w:r>
        <w:rPr>
          <w:sz w:val="24"/>
          <w:szCs w:val="24"/>
        </w:rPr>
        <w:t xml:space="preserve">, </w:t>
      </w:r>
      <w:r w:rsidR="004D5B3E">
        <w:rPr>
          <w:sz w:val="24"/>
          <w:szCs w:val="24"/>
        </w:rPr>
        <w:t>výše celkových nákladů</w:t>
      </w:r>
      <w:r>
        <w:rPr>
          <w:sz w:val="24"/>
          <w:szCs w:val="24"/>
        </w:rPr>
        <w:t xml:space="preserve"> a dopad do výdajů rozpočtu města. Realizovaná investiční akce PMDP a.s. bude mít dopad do částky za úhradu prokazatelné ztráty v řádech desítek miliónů korun. </w:t>
      </w:r>
    </w:p>
    <w:p w:rsidR="00440ED7" w:rsidRDefault="00CE5087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V souvislosti s financování</w:t>
      </w:r>
      <w:r w:rsidR="000C7F4E">
        <w:rPr>
          <w:sz w:val="24"/>
          <w:szCs w:val="24"/>
        </w:rPr>
        <w:t>m</w:t>
      </w:r>
      <w:r>
        <w:rPr>
          <w:sz w:val="24"/>
          <w:szCs w:val="24"/>
        </w:rPr>
        <w:t xml:space="preserve"> veřejné dopravy existuje </w:t>
      </w:r>
      <w:r w:rsidR="007F07F6">
        <w:rPr>
          <w:sz w:val="24"/>
          <w:szCs w:val="24"/>
        </w:rPr>
        <w:t xml:space="preserve">navíc </w:t>
      </w:r>
      <w:r>
        <w:rPr>
          <w:sz w:val="24"/>
          <w:szCs w:val="24"/>
        </w:rPr>
        <w:t>reálné nebezpečí</w:t>
      </w:r>
      <w:r w:rsidR="00C65912">
        <w:rPr>
          <w:sz w:val="24"/>
          <w:szCs w:val="24"/>
        </w:rPr>
        <w:t xml:space="preserve"> uvažované novelizace zákona o DPH</w:t>
      </w:r>
      <w:r>
        <w:rPr>
          <w:sz w:val="24"/>
          <w:szCs w:val="24"/>
        </w:rPr>
        <w:t xml:space="preserve">, </w:t>
      </w:r>
      <w:r w:rsidR="00C65912">
        <w:rPr>
          <w:sz w:val="24"/>
          <w:szCs w:val="24"/>
        </w:rPr>
        <w:t>kdy</w:t>
      </w:r>
      <w:r w:rsidR="00571F05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částka za úhradu prokazatelné ztráty, která se </w:t>
      </w:r>
      <w:r w:rsidR="00571F05">
        <w:rPr>
          <w:sz w:val="24"/>
          <w:szCs w:val="24"/>
        </w:rPr>
        <w:t xml:space="preserve">v současnosti </w:t>
      </w:r>
      <w:r>
        <w:rPr>
          <w:sz w:val="24"/>
          <w:szCs w:val="24"/>
        </w:rPr>
        <w:t>pohybuje kolem 1 mld. Kč ročně</w:t>
      </w:r>
      <w:r w:rsidR="00571F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1F05">
        <w:rPr>
          <w:sz w:val="24"/>
          <w:szCs w:val="24"/>
        </w:rPr>
        <w:t xml:space="preserve">byla </w:t>
      </w:r>
      <w:r>
        <w:rPr>
          <w:sz w:val="24"/>
          <w:szCs w:val="24"/>
        </w:rPr>
        <w:t>ještě po novelizaci zákona o DPH</w:t>
      </w:r>
      <w:r w:rsidRPr="00CE5087">
        <w:rPr>
          <w:sz w:val="24"/>
          <w:szCs w:val="24"/>
        </w:rPr>
        <w:t xml:space="preserve"> </w:t>
      </w:r>
      <w:r>
        <w:rPr>
          <w:sz w:val="24"/>
          <w:szCs w:val="24"/>
        </w:rPr>
        <w:t>navýšena o 21%, tedy částku 210 mil. Kč, kterou nebude možno uplatnit vůči státu. To vše významně sníží disponibilitu města pro jeho další rozvoj.</w:t>
      </w:r>
    </w:p>
    <w:p w:rsidR="007F07F6" w:rsidRDefault="00CE5087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0ED7" w:rsidRDefault="006843FD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Jednou z možností </w:t>
      </w:r>
      <w:r w:rsidR="005573EC">
        <w:rPr>
          <w:sz w:val="24"/>
          <w:szCs w:val="24"/>
        </w:rPr>
        <w:t>vyjádření</w:t>
      </w:r>
      <w:r>
        <w:rPr>
          <w:sz w:val="24"/>
          <w:szCs w:val="24"/>
        </w:rPr>
        <w:t xml:space="preserve"> </w:t>
      </w:r>
      <w:r w:rsidR="00440ED7">
        <w:rPr>
          <w:sz w:val="24"/>
          <w:szCs w:val="24"/>
        </w:rPr>
        <w:t xml:space="preserve">této </w:t>
      </w:r>
      <w:r>
        <w:rPr>
          <w:sz w:val="24"/>
          <w:szCs w:val="24"/>
        </w:rPr>
        <w:t>disponibility</w:t>
      </w:r>
      <w:r w:rsidR="005573EC">
        <w:rPr>
          <w:sz w:val="24"/>
          <w:szCs w:val="24"/>
        </w:rPr>
        <w:t xml:space="preserve"> rozpočtu</w:t>
      </w:r>
      <w:r>
        <w:rPr>
          <w:sz w:val="24"/>
          <w:szCs w:val="24"/>
        </w:rPr>
        <w:t xml:space="preserve"> je</w:t>
      </w:r>
      <w:r w:rsidR="00CE5087">
        <w:rPr>
          <w:sz w:val="24"/>
          <w:szCs w:val="24"/>
        </w:rPr>
        <w:t> propoč</w:t>
      </w:r>
      <w:r>
        <w:rPr>
          <w:sz w:val="24"/>
          <w:szCs w:val="24"/>
        </w:rPr>
        <w:t>e</w:t>
      </w:r>
      <w:r w:rsidR="00CE5087">
        <w:rPr>
          <w:sz w:val="24"/>
          <w:szCs w:val="24"/>
        </w:rPr>
        <w:t>t</w:t>
      </w:r>
      <w:r>
        <w:rPr>
          <w:sz w:val="24"/>
          <w:szCs w:val="24"/>
        </w:rPr>
        <w:t xml:space="preserve"> tzv. </w:t>
      </w:r>
      <w:r w:rsidR="00CE5087" w:rsidRPr="00440ED7">
        <w:rPr>
          <w:b/>
          <w:sz w:val="24"/>
          <w:szCs w:val="24"/>
        </w:rPr>
        <w:t>provozního salda</w:t>
      </w:r>
      <w:r w:rsidR="00CE5087">
        <w:rPr>
          <w:sz w:val="24"/>
          <w:szCs w:val="24"/>
        </w:rPr>
        <w:t>,</w:t>
      </w:r>
      <w:r w:rsidR="005573EC">
        <w:rPr>
          <w:sz w:val="24"/>
          <w:szCs w:val="24"/>
        </w:rPr>
        <w:t xml:space="preserve"> které vymezuje objem prostředků z provozních příjmů města, </w:t>
      </w:r>
      <w:r w:rsidR="007F07F6">
        <w:rPr>
          <w:sz w:val="24"/>
          <w:szCs w:val="24"/>
        </w:rPr>
        <w:t>jenž</w:t>
      </w:r>
      <w:r w:rsidR="005573EC">
        <w:rPr>
          <w:sz w:val="24"/>
          <w:szCs w:val="24"/>
        </w:rPr>
        <w:t xml:space="preserve"> je možné použít na investice. Jedná se o rozdíl mezi provozními příjmy a provozními výdaji</w:t>
      </w:r>
      <w:r w:rsidR="000047AC">
        <w:rPr>
          <w:sz w:val="24"/>
          <w:szCs w:val="24"/>
        </w:rPr>
        <w:t xml:space="preserve"> s </w:t>
      </w:r>
      <w:r w:rsidR="005573EC">
        <w:rPr>
          <w:sz w:val="24"/>
          <w:szCs w:val="24"/>
        </w:rPr>
        <w:t>případn</w:t>
      </w:r>
      <w:r w:rsidR="000047AC">
        <w:rPr>
          <w:sz w:val="24"/>
          <w:szCs w:val="24"/>
        </w:rPr>
        <w:t>ým</w:t>
      </w:r>
      <w:r w:rsidR="00381484">
        <w:rPr>
          <w:sz w:val="24"/>
          <w:szCs w:val="24"/>
        </w:rPr>
        <w:t xml:space="preserve"> započtením </w:t>
      </w:r>
      <w:r w:rsidR="005573EC">
        <w:rPr>
          <w:sz w:val="24"/>
          <w:szCs w:val="24"/>
        </w:rPr>
        <w:t>výdaj</w:t>
      </w:r>
      <w:r w:rsidR="00381484">
        <w:rPr>
          <w:sz w:val="24"/>
          <w:szCs w:val="24"/>
        </w:rPr>
        <w:t>ů</w:t>
      </w:r>
      <w:r w:rsidR="005573EC">
        <w:rPr>
          <w:sz w:val="24"/>
          <w:szCs w:val="24"/>
        </w:rPr>
        <w:t xml:space="preserve"> na splátky úvěrů. </w:t>
      </w:r>
      <w:r w:rsidR="00571F05">
        <w:rPr>
          <w:sz w:val="24"/>
          <w:szCs w:val="24"/>
        </w:rPr>
        <w:t xml:space="preserve"> V současné době činí objem provozního salda rozpočtu města </w:t>
      </w:r>
      <w:r w:rsidR="00C65912">
        <w:rPr>
          <w:sz w:val="24"/>
          <w:szCs w:val="24"/>
        </w:rPr>
        <w:t xml:space="preserve">po odečtení splátek úvěrů </w:t>
      </w:r>
      <w:r w:rsidR="00571F05">
        <w:rPr>
          <w:sz w:val="24"/>
          <w:szCs w:val="24"/>
        </w:rPr>
        <w:t>více než 700 mil. Kč.</w:t>
      </w:r>
      <w:r w:rsidR="00CE5087">
        <w:rPr>
          <w:sz w:val="24"/>
          <w:szCs w:val="24"/>
        </w:rPr>
        <w:t xml:space="preserve"> </w:t>
      </w:r>
      <w:r w:rsidR="00381484">
        <w:rPr>
          <w:sz w:val="24"/>
          <w:szCs w:val="24"/>
        </w:rPr>
        <w:t xml:space="preserve"> </w:t>
      </w:r>
      <w:r w:rsidR="000047AC">
        <w:rPr>
          <w:sz w:val="24"/>
          <w:szCs w:val="24"/>
        </w:rPr>
        <w:t xml:space="preserve">V případě navýšení výdajů na zajištění provozu KD Peklo a zejména </w:t>
      </w:r>
      <w:r w:rsidR="00B47D04">
        <w:rPr>
          <w:sz w:val="24"/>
          <w:szCs w:val="24"/>
        </w:rPr>
        <w:t xml:space="preserve">pak </w:t>
      </w:r>
      <w:r w:rsidR="000047AC">
        <w:rPr>
          <w:sz w:val="24"/>
          <w:szCs w:val="24"/>
        </w:rPr>
        <w:t>výdajů na úhradu prokazatelné ztráty z důvodu legislativní změny DPH by došlo k</w:t>
      </w:r>
      <w:r w:rsidR="00B47D04">
        <w:rPr>
          <w:sz w:val="24"/>
          <w:szCs w:val="24"/>
        </w:rPr>
        <w:t> poměrně razantnímu</w:t>
      </w:r>
      <w:r w:rsidR="000047AC">
        <w:rPr>
          <w:sz w:val="24"/>
          <w:szCs w:val="24"/>
        </w:rPr>
        <w:t xml:space="preserve"> snížení provozního salda</w:t>
      </w:r>
      <w:r w:rsidR="00B47D04">
        <w:rPr>
          <w:sz w:val="24"/>
          <w:szCs w:val="24"/>
        </w:rPr>
        <w:t>.</w:t>
      </w:r>
      <w:r w:rsidR="00E950B3">
        <w:rPr>
          <w:sz w:val="24"/>
          <w:szCs w:val="24"/>
        </w:rPr>
        <w:t xml:space="preserve"> </w:t>
      </w:r>
    </w:p>
    <w:p w:rsidR="00440ED7" w:rsidRDefault="00440ED7" w:rsidP="001B0E9F">
      <w:pPr>
        <w:jc w:val="both"/>
        <w:rPr>
          <w:sz w:val="24"/>
          <w:szCs w:val="24"/>
        </w:rPr>
      </w:pPr>
    </w:p>
    <w:p w:rsidR="003265BF" w:rsidRDefault="00C65912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="001D3AB8">
        <w:rPr>
          <w:sz w:val="24"/>
          <w:szCs w:val="24"/>
        </w:rPr>
        <w:t xml:space="preserve">riziko představuje avizovaná </w:t>
      </w:r>
      <w:r w:rsidR="003265BF" w:rsidRPr="00440ED7">
        <w:rPr>
          <w:b/>
          <w:sz w:val="24"/>
          <w:szCs w:val="24"/>
        </w:rPr>
        <w:t>novela zákona o rozpočtovém určení daní</w:t>
      </w:r>
      <w:r w:rsidR="003265BF">
        <w:rPr>
          <w:sz w:val="24"/>
          <w:szCs w:val="24"/>
        </w:rPr>
        <w:t>, kdy</w:t>
      </w:r>
      <w:r w:rsidR="00907098">
        <w:rPr>
          <w:sz w:val="24"/>
          <w:szCs w:val="24"/>
        </w:rPr>
        <w:t xml:space="preserve"> má dojít k omezení specifického postavení </w:t>
      </w:r>
      <w:r w:rsidR="003265BF">
        <w:rPr>
          <w:sz w:val="24"/>
          <w:szCs w:val="24"/>
        </w:rPr>
        <w:t>měst</w:t>
      </w:r>
      <w:r w:rsidR="00907098">
        <w:rPr>
          <w:sz w:val="24"/>
          <w:szCs w:val="24"/>
        </w:rPr>
        <w:t xml:space="preserve"> Praha, Brno,</w:t>
      </w:r>
      <w:r w:rsidR="00E950B3">
        <w:rPr>
          <w:sz w:val="24"/>
          <w:szCs w:val="24"/>
        </w:rPr>
        <w:t xml:space="preserve"> </w:t>
      </w:r>
      <w:r w:rsidR="00907098">
        <w:rPr>
          <w:sz w:val="24"/>
          <w:szCs w:val="24"/>
        </w:rPr>
        <w:t xml:space="preserve">Ostrava a Plzeň s významným negativním dopadem do daňových příjmů těchto měst. </w:t>
      </w:r>
      <w:r w:rsidR="00E950B3">
        <w:rPr>
          <w:sz w:val="24"/>
          <w:szCs w:val="24"/>
        </w:rPr>
        <w:t> </w:t>
      </w:r>
      <w:r w:rsidR="003265BF">
        <w:rPr>
          <w:sz w:val="24"/>
          <w:szCs w:val="24"/>
        </w:rPr>
        <w:t xml:space="preserve">Mnoho let je specifikum </w:t>
      </w:r>
      <w:r w:rsidR="00440ED7">
        <w:rPr>
          <w:sz w:val="24"/>
          <w:szCs w:val="24"/>
        </w:rPr>
        <w:t xml:space="preserve">města </w:t>
      </w:r>
      <w:r w:rsidR="003265BF">
        <w:rPr>
          <w:sz w:val="24"/>
          <w:szCs w:val="24"/>
        </w:rPr>
        <w:t>Plzně kritizováno jako neoprávněné</w:t>
      </w:r>
      <w:r w:rsidR="00F74681">
        <w:rPr>
          <w:sz w:val="24"/>
          <w:szCs w:val="24"/>
        </w:rPr>
        <w:t xml:space="preserve"> s argumentací na nepoměr výše příjmů z daní v přepočtu na jednoho obyvatele ve srovnání s městy </w:t>
      </w:r>
      <w:r w:rsidR="004F4C62">
        <w:rPr>
          <w:sz w:val="24"/>
          <w:szCs w:val="24"/>
        </w:rPr>
        <w:t>jako jsou Liberec či Olomouc s p</w:t>
      </w:r>
      <w:r w:rsidR="00B47D04">
        <w:rPr>
          <w:sz w:val="24"/>
          <w:szCs w:val="24"/>
        </w:rPr>
        <w:t>očtem obyvatel nad 100 tis. Kč</w:t>
      </w:r>
      <w:r w:rsidR="00E950B3">
        <w:rPr>
          <w:sz w:val="24"/>
          <w:szCs w:val="24"/>
        </w:rPr>
        <w:t>. Hodnota tohoto ukazatele u těchto měst je cca na úrovni 60 % města Plzně.</w:t>
      </w:r>
      <w:r w:rsidR="003265BF">
        <w:rPr>
          <w:sz w:val="24"/>
          <w:szCs w:val="24"/>
        </w:rPr>
        <w:t xml:space="preserve">  </w:t>
      </w:r>
      <w:r w:rsidR="004F4C62">
        <w:rPr>
          <w:sz w:val="24"/>
          <w:szCs w:val="24"/>
        </w:rPr>
        <w:t>V </w:t>
      </w:r>
      <w:r w:rsidR="003265BF">
        <w:rPr>
          <w:sz w:val="24"/>
          <w:szCs w:val="24"/>
        </w:rPr>
        <w:t xml:space="preserve">současné době je ustavena pracovní skupina při Ministerstvu financí ČR, která se touto problematikou zabývá. </w:t>
      </w:r>
      <w:r w:rsidR="006239B7">
        <w:rPr>
          <w:sz w:val="24"/>
          <w:szCs w:val="24"/>
        </w:rPr>
        <w:t xml:space="preserve">Město </w:t>
      </w:r>
      <w:r w:rsidR="003265BF">
        <w:rPr>
          <w:sz w:val="24"/>
          <w:szCs w:val="24"/>
        </w:rPr>
        <w:t>Plzeň</w:t>
      </w:r>
      <w:r w:rsidR="006239B7">
        <w:rPr>
          <w:sz w:val="24"/>
          <w:szCs w:val="24"/>
        </w:rPr>
        <w:t xml:space="preserve"> by tudíž</w:t>
      </w:r>
      <w:r w:rsidR="003265BF">
        <w:rPr>
          <w:sz w:val="24"/>
          <w:szCs w:val="24"/>
        </w:rPr>
        <w:t xml:space="preserve"> mělo</w:t>
      </w:r>
      <w:r w:rsidR="004F4C62">
        <w:rPr>
          <w:sz w:val="24"/>
          <w:szCs w:val="24"/>
        </w:rPr>
        <w:t xml:space="preserve"> </w:t>
      </w:r>
      <w:r w:rsidR="006239B7">
        <w:rPr>
          <w:sz w:val="24"/>
          <w:szCs w:val="24"/>
        </w:rPr>
        <w:t>toto riziko zohlednit při rozhodování o významných projektech</w:t>
      </w:r>
      <w:r w:rsidR="003265BF">
        <w:rPr>
          <w:sz w:val="24"/>
          <w:szCs w:val="24"/>
        </w:rPr>
        <w:t>, které</w:t>
      </w:r>
      <w:r w:rsidR="00E950B3">
        <w:rPr>
          <w:sz w:val="24"/>
          <w:szCs w:val="24"/>
        </w:rPr>
        <w:t xml:space="preserve"> rozpočet</w:t>
      </w:r>
      <w:r w:rsidR="003265BF">
        <w:rPr>
          <w:sz w:val="24"/>
          <w:szCs w:val="24"/>
        </w:rPr>
        <w:t xml:space="preserve"> zavážou k pravidelným provozním výdajům</w:t>
      </w:r>
      <w:r w:rsidR="00440ED7">
        <w:rPr>
          <w:sz w:val="24"/>
          <w:szCs w:val="24"/>
        </w:rPr>
        <w:t>.</w:t>
      </w:r>
    </w:p>
    <w:p w:rsidR="00440ED7" w:rsidRDefault="00440ED7" w:rsidP="001B0E9F">
      <w:pPr>
        <w:jc w:val="both"/>
        <w:rPr>
          <w:sz w:val="24"/>
          <w:szCs w:val="24"/>
        </w:rPr>
      </w:pPr>
    </w:p>
    <w:p w:rsidR="00440ED7" w:rsidRDefault="00440ED7" w:rsidP="001B0E9F">
      <w:pPr>
        <w:jc w:val="both"/>
        <w:rPr>
          <w:sz w:val="24"/>
          <w:szCs w:val="24"/>
        </w:rPr>
      </w:pPr>
    </w:p>
    <w:p w:rsidR="003265BF" w:rsidRDefault="003265BF" w:rsidP="001B0E9F">
      <w:pPr>
        <w:jc w:val="both"/>
        <w:rPr>
          <w:sz w:val="24"/>
          <w:szCs w:val="24"/>
        </w:rPr>
      </w:pPr>
      <w:r>
        <w:rPr>
          <w:sz w:val="24"/>
          <w:szCs w:val="24"/>
        </w:rPr>
        <w:t>S ohledem na výše uvedená finanční rizika se nabízí následující řešení při dalším rozhodování o objektu Pekla:</w:t>
      </w:r>
    </w:p>
    <w:p w:rsidR="003265BF" w:rsidRDefault="003265BF" w:rsidP="003265B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– zde lze očekávat všechna popsaná rizika, město bude ale dál vlastnit objekt a bude rozhodovat o jeho využívání</w:t>
      </w:r>
      <w:r w:rsidR="00440ED7">
        <w:rPr>
          <w:sz w:val="24"/>
          <w:szCs w:val="24"/>
        </w:rPr>
        <w:t xml:space="preserve"> (doba realizace 3-5 let dle variant viz výše)</w:t>
      </w:r>
    </w:p>
    <w:p w:rsidR="00440ED7" w:rsidRDefault="00440ED7" w:rsidP="00440ED7">
      <w:pPr>
        <w:pStyle w:val="Odstavecseseznamem"/>
        <w:jc w:val="both"/>
        <w:rPr>
          <w:sz w:val="24"/>
          <w:szCs w:val="24"/>
        </w:rPr>
      </w:pPr>
    </w:p>
    <w:p w:rsidR="001B0E9F" w:rsidRDefault="003265BF" w:rsidP="001B0E9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3D281D">
        <w:rPr>
          <w:sz w:val="24"/>
          <w:szCs w:val="24"/>
        </w:rPr>
        <w:t xml:space="preserve">Prodej </w:t>
      </w:r>
      <w:r w:rsidR="003D281D" w:rsidRPr="003D281D">
        <w:rPr>
          <w:sz w:val="24"/>
          <w:szCs w:val="24"/>
        </w:rPr>
        <w:t>–</w:t>
      </w:r>
      <w:r w:rsidRPr="003D281D">
        <w:rPr>
          <w:sz w:val="24"/>
          <w:szCs w:val="24"/>
        </w:rPr>
        <w:t xml:space="preserve"> </w:t>
      </w:r>
      <w:r w:rsidR="003D281D" w:rsidRPr="003D281D">
        <w:rPr>
          <w:sz w:val="24"/>
          <w:szCs w:val="24"/>
        </w:rPr>
        <w:t>město nebude muset řešit provozní výdaje a výdaje na uskutečnění rekonstrukce, nicméně ztratí z vlastnictví historický objekt</w:t>
      </w:r>
      <w:r w:rsidRPr="003D281D">
        <w:rPr>
          <w:sz w:val="24"/>
          <w:szCs w:val="24"/>
        </w:rPr>
        <w:t xml:space="preserve"> </w:t>
      </w:r>
      <w:r w:rsidR="00440ED7">
        <w:rPr>
          <w:sz w:val="24"/>
          <w:szCs w:val="24"/>
        </w:rPr>
        <w:t>(doba realizace 1 rok)</w:t>
      </w:r>
    </w:p>
    <w:p w:rsidR="00440ED7" w:rsidRPr="00440ED7" w:rsidRDefault="00440ED7" w:rsidP="00440ED7">
      <w:pPr>
        <w:jc w:val="both"/>
        <w:rPr>
          <w:sz w:val="24"/>
          <w:szCs w:val="24"/>
        </w:rPr>
      </w:pPr>
    </w:p>
    <w:p w:rsidR="001B0E9F" w:rsidRDefault="003D281D" w:rsidP="001B0E9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C7F4E">
        <w:rPr>
          <w:sz w:val="24"/>
          <w:szCs w:val="24"/>
        </w:rPr>
        <w:t>Koncesní projekt – město minimalizuje rizika jak z pohledu provozních, tak investičních výdajů, bude dále vlastnit objekt, nicméně nebude významně ovlivňovat jeho využívání, které bude nastaveno na začátku koncesního řízení (</w:t>
      </w:r>
      <w:r w:rsidR="00440ED7">
        <w:rPr>
          <w:sz w:val="24"/>
          <w:szCs w:val="24"/>
        </w:rPr>
        <w:t>doba realizace min. 1 rok)</w:t>
      </w:r>
      <w:r w:rsidR="001B0E9F" w:rsidRPr="000C7F4E">
        <w:rPr>
          <w:sz w:val="24"/>
          <w:szCs w:val="24"/>
        </w:rPr>
        <w:t xml:space="preserve"> </w:t>
      </w:r>
    </w:p>
    <w:p w:rsidR="00E30332" w:rsidRPr="005F6CE0" w:rsidRDefault="00E30332" w:rsidP="005F6CE0">
      <w:pPr>
        <w:pStyle w:val="Odstavecseseznamem"/>
        <w:shd w:val="clear" w:color="auto" w:fill="FFFFFF"/>
        <w:spacing w:before="100" w:after="100"/>
        <w:jc w:val="both"/>
        <w:textAlignment w:val="top"/>
        <w:rPr>
          <w:sz w:val="24"/>
          <w:szCs w:val="24"/>
        </w:rPr>
      </w:pPr>
      <w:r w:rsidRPr="005F6CE0">
        <w:rPr>
          <w:sz w:val="24"/>
          <w:szCs w:val="24"/>
        </w:rPr>
        <w:t>Koncesní smlouvou se koncesionář zavazuje poskytovat služby nebo i provést dílo a zadavatel se zavazuje umožnit koncesionáři brát užitky vyplývající z poskytování služeb nebo z využívání provedeného díla, popřípadě spolu s poskytnutím části plnění v penězích (§ 16 zákona č. 139/2006 Sb., koncesní zákon).</w:t>
      </w:r>
    </w:p>
    <w:p w:rsidR="00E30332" w:rsidRPr="00E30332" w:rsidRDefault="00E30332" w:rsidP="00E30332">
      <w:pPr>
        <w:pStyle w:val="Odstavecseseznamem"/>
        <w:rPr>
          <w:color w:val="FF0000"/>
          <w:sz w:val="24"/>
          <w:szCs w:val="24"/>
        </w:rPr>
      </w:pPr>
    </w:p>
    <w:p w:rsidR="00E30332" w:rsidRDefault="00E30332" w:rsidP="00E30332">
      <w:pPr>
        <w:pStyle w:val="Odstavecseseznamem"/>
        <w:jc w:val="both"/>
        <w:rPr>
          <w:sz w:val="24"/>
          <w:szCs w:val="24"/>
        </w:rPr>
      </w:pPr>
    </w:p>
    <w:p w:rsidR="00440ED7" w:rsidRDefault="00440ED7" w:rsidP="00440ED7">
      <w:pPr>
        <w:jc w:val="both"/>
        <w:rPr>
          <w:sz w:val="24"/>
          <w:szCs w:val="24"/>
        </w:rPr>
      </w:pPr>
    </w:p>
    <w:p w:rsidR="00440ED7" w:rsidRDefault="00440ED7" w:rsidP="00440ED7">
      <w:pPr>
        <w:jc w:val="both"/>
        <w:rPr>
          <w:sz w:val="24"/>
          <w:szCs w:val="24"/>
        </w:rPr>
      </w:pPr>
    </w:p>
    <w:p w:rsidR="00440ED7" w:rsidRDefault="00440ED7" w:rsidP="00440ED7">
      <w:pPr>
        <w:jc w:val="both"/>
        <w:rPr>
          <w:sz w:val="24"/>
          <w:szCs w:val="24"/>
        </w:rPr>
      </w:pPr>
    </w:p>
    <w:p w:rsidR="00440ED7" w:rsidRPr="00440ED7" w:rsidRDefault="00440ED7" w:rsidP="00440ED7">
      <w:pPr>
        <w:jc w:val="both"/>
        <w:rPr>
          <w:sz w:val="24"/>
          <w:szCs w:val="24"/>
        </w:rPr>
      </w:pPr>
    </w:p>
    <w:p w:rsidR="0036371C" w:rsidRDefault="0036371C" w:rsidP="007F07F6">
      <w:pPr>
        <w:ind w:left="720"/>
        <w:jc w:val="both"/>
        <w:rPr>
          <w:sz w:val="24"/>
          <w:szCs w:val="24"/>
        </w:rPr>
      </w:pPr>
    </w:p>
    <w:p w:rsidR="0036371C" w:rsidRDefault="0036371C" w:rsidP="0036371C">
      <w:pPr>
        <w:pStyle w:val="Paragrafneslovan"/>
      </w:pPr>
      <w:r>
        <w:t>Zprávu předkládá:</w:t>
      </w:r>
      <w:r>
        <w:tab/>
      </w:r>
      <w:r>
        <w:tab/>
      </w:r>
      <w:r>
        <w:tab/>
        <w:t>Bc. David Šlouf, MBA, člen RMP</w:t>
      </w:r>
    </w:p>
    <w:p w:rsidR="0036371C" w:rsidRDefault="0036371C" w:rsidP="0036371C">
      <w:pPr>
        <w:pStyle w:val="Paragrafneslovan"/>
      </w:pPr>
    </w:p>
    <w:p w:rsidR="00440ED7" w:rsidRDefault="0036371C" w:rsidP="0036371C">
      <w:pPr>
        <w:pStyle w:val="Paragrafneslovan"/>
      </w:pPr>
      <w:r>
        <w:t>Zprávu zpracovali dne: 18. 1. 2019</w:t>
      </w:r>
      <w:r w:rsidRPr="00E905B4">
        <w:t xml:space="preserve"> </w:t>
      </w:r>
      <w:r>
        <w:tab/>
        <w:t xml:space="preserve">Ing. Jan Souček, MBA, vedoucí odd. </w:t>
      </w:r>
      <w:proofErr w:type="gramStart"/>
      <w:r>
        <w:t>správy</w:t>
      </w:r>
      <w:proofErr w:type="gramEnd"/>
      <w:r>
        <w:t xml:space="preserve"> BYT MMP</w:t>
      </w:r>
    </w:p>
    <w:p w:rsidR="00440ED7" w:rsidRDefault="00440ED7" w:rsidP="00440ED7">
      <w:pPr>
        <w:pStyle w:val="Paragrafneslovan"/>
        <w:ind w:left="3260" w:firstLine="280"/>
      </w:pPr>
      <w:r>
        <w:t>Ing. Hana Kuglerová, MBA, ŘEÚ MMP</w:t>
      </w:r>
    </w:p>
    <w:p w:rsidR="0036371C" w:rsidRPr="00DC55C7" w:rsidRDefault="0036371C" w:rsidP="0036371C">
      <w:pPr>
        <w:pStyle w:val="Paragrafneslovan"/>
        <w:rPr>
          <w:spacing w:val="-20"/>
        </w:rPr>
      </w:pPr>
      <w:r>
        <w:tab/>
      </w:r>
      <w:r>
        <w:tab/>
      </w:r>
      <w:r>
        <w:tab/>
      </w:r>
    </w:p>
    <w:p w:rsidR="0036371C" w:rsidRDefault="0036371C" w:rsidP="0036371C">
      <w:pPr>
        <w:pStyle w:val="Paragrafneslovan"/>
      </w:pPr>
      <w:r>
        <w:t>Schůze ZMP se zúčastní:</w:t>
      </w:r>
      <w:r>
        <w:tab/>
      </w:r>
      <w:r>
        <w:tab/>
      </w:r>
      <w:r>
        <w:tab/>
        <w:t>Bc. David Šlouf, MBA, člen RMP</w:t>
      </w:r>
    </w:p>
    <w:p w:rsidR="0036371C" w:rsidRDefault="0036371C" w:rsidP="0036371C">
      <w:pPr>
        <w:pStyle w:val="Paragrafneslovan"/>
      </w:pPr>
    </w:p>
    <w:p w:rsidR="0036371C" w:rsidRDefault="0036371C" w:rsidP="0036371C">
      <w:pPr>
        <w:pStyle w:val="Paragrafneslovan"/>
      </w:pPr>
    </w:p>
    <w:p w:rsidR="0036371C" w:rsidRDefault="0036371C" w:rsidP="0036371C">
      <w:pPr>
        <w:jc w:val="both"/>
        <w:rPr>
          <w:sz w:val="24"/>
          <w:szCs w:val="24"/>
        </w:rPr>
      </w:pPr>
      <w:r w:rsidRPr="009F09B4">
        <w:rPr>
          <w:sz w:val="24"/>
          <w:szCs w:val="24"/>
        </w:rPr>
        <w:t xml:space="preserve">Vyvěšeno na úřední desce: </w:t>
      </w:r>
      <w:r>
        <w:rPr>
          <w:sz w:val="24"/>
          <w:szCs w:val="24"/>
        </w:rPr>
        <w:t>N</w:t>
      </w:r>
      <w:r w:rsidRPr="009F09B4">
        <w:rPr>
          <w:sz w:val="24"/>
          <w:szCs w:val="24"/>
        </w:rPr>
        <w:t>epodléhá vyvěšení dle zákona č. 128/2000 Sb., o obcích</w:t>
      </w:r>
      <w:r>
        <w:rPr>
          <w:sz w:val="24"/>
          <w:szCs w:val="24"/>
        </w:rPr>
        <w:t>.</w:t>
      </w:r>
    </w:p>
    <w:p w:rsidR="0036371C" w:rsidRPr="007F07F6" w:rsidRDefault="0036371C" w:rsidP="007F07F6">
      <w:pPr>
        <w:ind w:left="360"/>
        <w:jc w:val="both"/>
        <w:rPr>
          <w:sz w:val="24"/>
          <w:szCs w:val="24"/>
        </w:rPr>
      </w:pPr>
    </w:p>
    <w:p w:rsidR="001B0E9F" w:rsidRPr="009F09B4" w:rsidRDefault="001B0E9F" w:rsidP="007A48A9">
      <w:pPr>
        <w:jc w:val="both"/>
        <w:rPr>
          <w:sz w:val="24"/>
          <w:szCs w:val="24"/>
        </w:rPr>
      </w:pPr>
    </w:p>
    <w:sectPr w:rsidR="001B0E9F" w:rsidRPr="009F0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A2" w:rsidRDefault="005A23A2" w:rsidP="0007092B">
      <w:r>
        <w:separator/>
      </w:r>
    </w:p>
  </w:endnote>
  <w:endnote w:type="continuationSeparator" w:id="0">
    <w:p w:rsidR="005A23A2" w:rsidRDefault="005A23A2" w:rsidP="0007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72947"/>
      <w:docPartObj>
        <w:docPartGallery w:val="Page Numbers (Bottom of Page)"/>
        <w:docPartUnique/>
      </w:docPartObj>
    </w:sdtPr>
    <w:sdtEndPr/>
    <w:sdtContent>
      <w:p w:rsidR="0007092B" w:rsidRDefault="000709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5F">
          <w:rPr>
            <w:noProof/>
          </w:rPr>
          <w:t>1</w:t>
        </w:r>
        <w:r>
          <w:fldChar w:fldCharType="end"/>
        </w:r>
      </w:p>
    </w:sdtContent>
  </w:sdt>
  <w:p w:rsidR="0007092B" w:rsidRDefault="000709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A2" w:rsidRDefault="005A23A2" w:rsidP="0007092B">
      <w:r>
        <w:separator/>
      </w:r>
    </w:p>
  </w:footnote>
  <w:footnote w:type="continuationSeparator" w:id="0">
    <w:p w:rsidR="005A23A2" w:rsidRDefault="005A23A2" w:rsidP="0007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357"/>
    <w:multiLevelType w:val="hybridMultilevel"/>
    <w:tmpl w:val="B20CFCA8"/>
    <w:lvl w:ilvl="0" w:tplc="D02245BC">
      <w:start w:val="1"/>
      <w:numFmt w:val="decimal"/>
      <w:lvlText w:val="%1)"/>
      <w:lvlJc w:val="left"/>
      <w:pPr>
        <w:ind w:left="787" w:hanging="360"/>
      </w:p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>
      <w:start w:val="1"/>
      <w:numFmt w:val="lowerRoman"/>
      <w:lvlText w:val="%3."/>
      <w:lvlJc w:val="right"/>
      <w:pPr>
        <w:ind w:left="2227" w:hanging="180"/>
      </w:pPr>
    </w:lvl>
    <w:lvl w:ilvl="3" w:tplc="0405000F">
      <w:start w:val="1"/>
      <w:numFmt w:val="decimal"/>
      <w:lvlText w:val="%4."/>
      <w:lvlJc w:val="left"/>
      <w:pPr>
        <w:ind w:left="2947" w:hanging="360"/>
      </w:pPr>
    </w:lvl>
    <w:lvl w:ilvl="4" w:tplc="04050019">
      <w:start w:val="1"/>
      <w:numFmt w:val="lowerLetter"/>
      <w:lvlText w:val="%5."/>
      <w:lvlJc w:val="left"/>
      <w:pPr>
        <w:ind w:left="3667" w:hanging="360"/>
      </w:pPr>
    </w:lvl>
    <w:lvl w:ilvl="5" w:tplc="0405001B">
      <w:start w:val="1"/>
      <w:numFmt w:val="lowerRoman"/>
      <w:lvlText w:val="%6."/>
      <w:lvlJc w:val="right"/>
      <w:pPr>
        <w:ind w:left="4387" w:hanging="180"/>
      </w:pPr>
    </w:lvl>
    <w:lvl w:ilvl="6" w:tplc="0405000F">
      <w:start w:val="1"/>
      <w:numFmt w:val="decimal"/>
      <w:lvlText w:val="%7."/>
      <w:lvlJc w:val="left"/>
      <w:pPr>
        <w:ind w:left="5107" w:hanging="360"/>
      </w:pPr>
    </w:lvl>
    <w:lvl w:ilvl="7" w:tplc="04050019">
      <w:start w:val="1"/>
      <w:numFmt w:val="lowerLetter"/>
      <w:lvlText w:val="%8."/>
      <w:lvlJc w:val="left"/>
      <w:pPr>
        <w:ind w:left="5827" w:hanging="360"/>
      </w:pPr>
    </w:lvl>
    <w:lvl w:ilvl="8" w:tplc="0405001B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3627E95"/>
    <w:multiLevelType w:val="hybridMultilevel"/>
    <w:tmpl w:val="CC8A7D5C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5C16C91"/>
    <w:multiLevelType w:val="hybridMultilevel"/>
    <w:tmpl w:val="0492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6CC"/>
    <w:multiLevelType w:val="hybridMultilevel"/>
    <w:tmpl w:val="1CC07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C3D5E"/>
    <w:multiLevelType w:val="hybridMultilevel"/>
    <w:tmpl w:val="FB3E3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14A1"/>
    <w:multiLevelType w:val="hybridMultilevel"/>
    <w:tmpl w:val="0054EC3C"/>
    <w:lvl w:ilvl="0" w:tplc="434C3DB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540DC1"/>
    <w:multiLevelType w:val="hybridMultilevel"/>
    <w:tmpl w:val="930C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5C0C"/>
    <w:multiLevelType w:val="hybridMultilevel"/>
    <w:tmpl w:val="D13EE86E"/>
    <w:lvl w:ilvl="0" w:tplc="54968E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chánek Jiří">
    <w15:presenceInfo w15:providerId="AD" w15:userId="S-1-5-21-10432418-1290472991-196506527-83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8"/>
    <w:rsid w:val="000047AC"/>
    <w:rsid w:val="000302E9"/>
    <w:rsid w:val="00035FD3"/>
    <w:rsid w:val="00040E91"/>
    <w:rsid w:val="00060F37"/>
    <w:rsid w:val="0007092B"/>
    <w:rsid w:val="00074E9C"/>
    <w:rsid w:val="00076D65"/>
    <w:rsid w:val="00082A63"/>
    <w:rsid w:val="00083A6A"/>
    <w:rsid w:val="00087620"/>
    <w:rsid w:val="00097EE9"/>
    <w:rsid w:val="000A5077"/>
    <w:rsid w:val="000A5FE2"/>
    <w:rsid w:val="000A7D04"/>
    <w:rsid w:val="000C0E29"/>
    <w:rsid w:val="000C4C2F"/>
    <w:rsid w:val="000C5038"/>
    <w:rsid w:val="000C6D1A"/>
    <w:rsid w:val="000C7F4E"/>
    <w:rsid w:val="000D730A"/>
    <w:rsid w:val="000E1BA2"/>
    <w:rsid w:val="000E4694"/>
    <w:rsid w:val="000F25DD"/>
    <w:rsid w:val="000F4B1C"/>
    <w:rsid w:val="00104AA0"/>
    <w:rsid w:val="00112515"/>
    <w:rsid w:val="00112545"/>
    <w:rsid w:val="001213CB"/>
    <w:rsid w:val="00121A84"/>
    <w:rsid w:val="001310C0"/>
    <w:rsid w:val="00144901"/>
    <w:rsid w:val="00163A32"/>
    <w:rsid w:val="001660FE"/>
    <w:rsid w:val="001669CB"/>
    <w:rsid w:val="00166AD1"/>
    <w:rsid w:val="00172A11"/>
    <w:rsid w:val="00174E46"/>
    <w:rsid w:val="00191B41"/>
    <w:rsid w:val="001A5361"/>
    <w:rsid w:val="001B05BE"/>
    <w:rsid w:val="001B0E9F"/>
    <w:rsid w:val="001B56D5"/>
    <w:rsid w:val="001C15BA"/>
    <w:rsid w:val="001C33DB"/>
    <w:rsid w:val="001C3591"/>
    <w:rsid w:val="001C3FD8"/>
    <w:rsid w:val="001C583A"/>
    <w:rsid w:val="001C6843"/>
    <w:rsid w:val="001C749D"/>
    <w:rsid w:val="001D3AB8"/>
    <w:rsid w:val="001D502B"/>
    <w:rsid w:val="001D57D3"/>
    <w:rsid w:val="001E2287"/>
    <w:rsid w:val="001E71CA"/>
    <w:rsid w:val="001F045A"/>
    <w:rsid w:val="00200974"/>
    <w:rsid w:val="00202876"/>
    <w:rsid w:val="002075BD"/>
    <w:rsid w:val="00220039"/>
    <w:rsid w:val="00221CAC"/>
    <w:rsid w:val="00224C1A"/>
    <w:rsid w:val="002328B2"/>
    <w:rsid w:val="00254728"/>
    <w:rsid w:val="002555D6"/>
    <w:rsid w:val="00262311"/>
    <w:rsid w:val="00264DFC"/>
    <w:rsid w:val="002718F3"/>
    <w:rsid w:val="00274327"/>
    <w:rsid w:val="002762E6"/>
    <w:rsid w:val="00280DB6"/>
    <w:rsid w:val="00282381"/>
    <w:rsid w:val="00285DAA"/>
    <w:rsid w:val="00295D4F"/>
    <w:rsid w:val="002A0FED"/>
    <w:rsid w:val="002B0034"/>
    <w:rsid w:val="002B2E2E"/>
    <w:rsid w:val="002B6195"/>
    <w:rsid w:val="002D55F4"/>
    <w:rsid w:val="002D6F32"/>
    <w:rsid w:val="002E31CD"/>
    <w:rsid w:val="002E6769"/>
    <w:rsid w:val="002F0157"/>
    <w:rsid w:val="002F1398"/>
    <w:rsid w:val="002F5CAC"/>
    <w:rsid w:val="002F76B9"/>
    <w:rsid w:val="002F7795"/>
    <w:rsid w:val="003029D9"/>
    <w:rsid w:val="003066BD"/>
    <w:rsid w:val="00310BFB"/>
    <w:rsid w:val="00315984"/>
    <w:rsid w:val="00316290"/>
    <w:rsid w:val="003265BF"/>
    <w:rsid w:val="0035248D"/>
    <w:rsid w:val="003574BC"/>
    <w:rsid w:val="00361F69"/>
    <w:rsid w:val="0036371C"/>
    <w:rsid w:val="00366CF2"/>
    <w:rsid w:val="00376A18"/>
    <w:rsid w:val="00381484"/>
    <w:rsid w:val="00384076"/>
    <w:rsid w:val="00386500"/>
    <w:rsid w:val="00391981"/>
    <w:rsid w:val="003A1FAE"/>
    <w:rsid w:val="003C2E32"/>
    <w:rsid w:val="003C4732"/>
    <w:rsid w:val="003C5967"/>
    <w:rsid w:val="003C6DAB"/>
    <w:rsid w:val="003D206A"/>
    <w:rsid w:val="003D281D"/>
    <w:rsid w:val="003D419D"/>
    <w:rsid w:val="003D66D6"/>
    <w:rsid w:val="003E07A1"/>
    <w:rsid w:val="003E274F"/>
    <w:rsid w:val="003E4C60"/>
    <w:rsid w:val="003E7F97"/>
    <w:rsid w:val="004059CD"/>
    <w:rsid w:val="00410A58"/>
    <w:rsid w:val="00411930"/>
    <w:rsid w:val="00411B9E"/>
    <w:rsid w:val="00416C87"/>
    <w:rsid w:val="0041702B"/>
    <w:rsid w:val="00425A18"/>
    <w:rsid w:val="00426D38"/>
    <w:rsid w:val="00431228"/>
    <w:rsid w:val="00431EF8"/>
    <w:rsid w:val="00432FD6"/>
    <w:rsid w:val="00440ED7"/>
    <w:rsid w:val="004412BC"/>
    <w:rsid w:val="0044633A"/>
    <w:rsid w:val="00460EC5"/>
    <w:rsid w:val="0046534B"/>
    <w:rsid w:val="00474198"/>
    <w:rsid w:val="00475EC3"/>
    <w:rsid w:val="00483C87"/>
    <w:rsid w:val="00490BD2"/>
    <w:rsid w:val="004927F8"/>
    <w:rsid w:val="004A2257"/>
    <w:rsid w:val="004A476A"/>
    <w:rsid w:val="004A4A0F"/>
    <w:rsid w:val="004A4AF1"/>
    <w:rsid w:val="004A7D46"/>
    <w:rsid w:val="004C1B41"/>
    <w:rsid w:val="004C52B4"/>
    <w:rsid w:val="004C7638"/>
    <w:rsid w:val="004C7819"/>
    <w:rsid w:val="004D4D30"/>
    <w:rsid w:val="004D5B3E"/>
    <w:rsid w:val="004D69F5"/>
    <w:rsid w:val="004D6AB6"/>
    <w:rsid w:val="004E61C1"/>
    <w:rsid w:val="004E73D3"/>
    <w:rsid w:val="004F08DE"/>
    <w:rsid w:val="004F0972"/>
    <w:rsid w:val="004F0DBE"/>
    <w:rsid w:val="004F3565"/>
    <w:rsid w:val="004F4C62"/>
    <w:rsid w:val="00500FC7"/>
    <w:rsid w:val="005145E1"/>
    <w:rsid w:val="005152BA"/>
    <w:rsid w:val="00520033"/>
    <w:rsid w:val="00532CD1"/>
    <w:rsid w:val="00534905"/>
    <w:rsid w:val="00535BED"/>
    <w:rsid w:val="00542B77"/>
    <w:rsid w:val="00550821"/>
    <w:rsid w:val="00557187"/>
    <w:rsid w:val="005573EC"/>
    <w:rsid w:val="00557551"/>
    <w:rsid w:val="005701A5"/>
    <w:rsid w:val="00570624"/>
    <w:rsid w:val="005708A9"/>
    <w:rsid w:val="00571F05"/>
    <w:rsid w:val="00573F5B"/>
    <w:rsid w:val="00582C75"/>
    <w:rsid w:val="00583867"/>
    <w:rsid w:val="00587525"/>
    <w:rsid w:val="00591B18"/>
    <w:rsid w:val="00592E22"/>
    <w:rsid w:val="00593A13"/>
    <w:rsid w:val="00593AE6"/>
    <w:rsid w:val="00593CA8"/>
    <w:rsid w:val="005A0F5B"/>
    <w:rsid w:val="005A23A2"/>
    <w:rsid w:val="005B07EA"/>
    <w:rsid w:val="005B605A"/>
    <w:rsid w:val="005B73AC"/>
    <w:rsid w:val="005C4796"/>
    <w:rsid w:val="005D6FA8"/>
    <w:rsid w:val="005F5855"/>
    <w:rsid w:val="005F6CE0"/>
    <w:rsid w:val="00603D30"/>
    <w:rsid w:val="00607C17"/>
    <w:rsid w:val="006127D8"/>
    <w:rsid w:val="0061493A"/>
    <w:rsid w:val="006206D1"/>
    <w:rsid w:val="006239B7"/>
    <w:rsid w:val="00632098"/>
    <w:rsid w:val="00635225"/>
    <w:rsid w:val="006363B1"/>
    <w:rsid w:val="00637F28"/>
    <w:rsid w:val="006416A5"/>
    <w:rsid w:val="00667099"/>
    <w:rsid w:val="00674905"/>
    <w:rsid w:val="00682776"/>
    <w:rsid w:val="006843FD"/>
    <w:rsid w:val="00696890"/>
    <w:rsid w:val="00697938"/>
    <w:rsid w:val="006A4A12"/>
    <w:rsid w:val="006C5391"/>
    <w:rsid w:val="006D6746"/>
    <w:rsid w:val="006E090B"/>
    <w:rsid w:val="006E3018"/>
    <w:rsid w:val="006E5EB4"/>
    <w:rsid w:val="006F2787"/>
    <w:rsid w:val="007011C5"/>
    <w:rsid w:val="007070E9"/>
    <w:rsid w:val="00710913"/>
    <w:rsid w:val="00712B75"/>
    <w:rsid w:val="00737088"/>
    <w:rsid w:val="007529EC"/>
    <w:rsid w:val="00756376"/>
    <w:rsid w:val="00774FBE"/>
    <w:rsid w:val="007849CE"/>
    <w:rsid w:val="00791C23"/>
    <w:rsid w:val="00792CB0"/>
    <w:rsid w:val="00795A93"/>
    <w:rsid w:val="007A48A9"/>
    <w:rsid w:val="007B5FB6"/>
    <w:rsid w:val="007C69E3"/>
    <w:rsid w:val="007D05DF"/>
    <w:rsid w:val="007F07F6"/>
    <w:rsid w:val="007F2241"/>
    <w:rsid w:val="007F3782"/>
    <w:rsid w:val="007F76BF"/>
    <w:rsid w:val="00802121"/>
    <w:rsid w:val="00806A9E"/>
    <w:rsid w:val="00811D40"/>
    <w:rsid w:val="00824B23"/>
    <w:rsid w:val="00826F38"/>
    <w:rsid w:val="008344A8"/>
    <w:rsid w:val="008376E8"/>
    <w:rsid w:val="00837B8F"/>
    <w:rsid w:val="00837F7F"/>
    <w:rsid w:val="00853E9C"/>
    <w:rsid w:val="0086099A"/>
    <w:rsid w:val="008701FD"/>
    <w:rsid w:val="0087387D"/>
    <w:rsid w:val="0087750F"/>
    <w:rsid w:val="00877AAF"/>
    <w:rsid w:val="00881D8E"/>
    <w:rsid w:val="00887D0E"/>
    <w:rsid w:val="00892242"/>
    <w:rsid w:val="008A10E5"/>
    <w:rsid w:val="008B0367"/>
    <w:rsid w:val="008D5ACC"/>
    <w:rsid w:val="008F0BFF"/>
    <w:rsid w:val="008F544A"/>
    <w:rsid w:val="008F7038"/>
    <w:rsid w:val="00904534"/>
    <w:rsid w:val="00905326"/>
    <w:rsid w:val="00907098"/>
    <w:rsid w:val="009103F0"/>
    <w:rsid w:val="009172A9"/>
    <w:rsid w:val="00921424"/>
    <w:rsid w:val="00924EA3"/>
    <w:rsid w:val="00925D34"/>
    <w:rsid w:val="00932652"/>
    <w:rsid w:val="00934E00"/>
    <w:rsid w:val="00936D5C"/>
    <w:rsid w:val="00941E39"/>
    <w:rsid w:val="00944613"/>
    <w:rsid w:val="009451D8"/>
    <w:rsid w:val="00951596"/>
    <w:rsid w:val="00954EAB"/>
    <w:rsid w:val="009617CB"/>
    <w:rsid w:val="00976BA5"/>
    <w:rsid w:val="0097799D"/>
    <w:rsid w:val="00980340"/>
    <w:rsid w:val="00987794"/>
    <w:rsid w:val="009A01E1"/>
    <w:rsid w:val="009A1B18"/>
    <w:rsid w:val="009A7847"/>
    <w:rsid w:val="009B0835"/>
    <w:rsid w:val="009B3D8B"/>
    <w:rsid w:val="009C01FF"/>
    <w:rsid w:val="009C401E"/>
    <w:rsid w:val="009C7343"/>
    <w:rsid w:val="009D0A6F"/>
    <w:rsid w:val="009D1F47"/>
    <w:rsid w:val="009E20B9"/>
    <w:rsid w:val="009E670A"/>
    <w:rsid w:val="009F69B0"/>
    <w:rsid w:val="009F7686"/>
    <w:rsid w:val="00A01B23"/>
    <w:rsid w:val="00A077CD"/>
    <w:rsid w:val="00A11D14"/>
    <w:rsid w:val="00A13A1D"/>
    <w:rsid w:val="00A16C84"/>
    <w:rsid w:val="00A3334C"/>
    <w:rsid w:val="00A45622"/>
    <w:rsid w:val="00A516A7"/>
    <w:rsid w:val="00A53B21"/>
    <w:rsid w:val="00A70767"/>
    <w:rsid w:val="00A74078"/>
    <w:rsid w:val="00A74BBE"/>
    <w:rsid w:val="00A7696C"/>
    <w:rsid w:val="00A7734B"/>
    <w:rsid w:val="00A806B0"/>
    <w:rsid w:val="00A80E4D"/>
    <w:rsid w:val="00A81AF6"/>
    <w:rsid w:val="00AA0BE5"/>
    <w:rsid w:val="00AA2770"/>
    <w:rsid w:val="00AB4DA3"/>
    <w:rsid w:val="00AB518F"/>
    <w:rsid w:val="00AB79B6"/>
    <w:rsid w:val="00AC2B59"/>
    <w:rsid w:val="00AD20C8"/>
    <w:rsid w:val="00AD5D48"/>
    <w:rsid w:val="00AE4419"/>
    <w:rsid w:val="00AF1CB8"/>
    <w:rsid w:val="00AF2424"/>
    <w:rsid w:val="00AF6539"/>
    <w:rsid w:val="00B02084"/>
    <w:rsid w:val="00B0356F"/>
    <w:rsid w:val="00B03FF9"/>
    <w:rsid w:val="00B041C2"/>
    <w:rsid w:val="00B04897"/>
    <w:rsid w:val="00B05A46"/>
    <w:rsid w:val="00B079D4"/>
    <w:rsid w:val="00B21FE9"/>
    <w:rsid w:val="00B313B6"/>
    <w:rsid w:val="00B32ED2"/>
    <w:rsid w:val="00B37E3F"/>
    <w:rsid w:val="00B40358"/>
    <w:rsid w:val="00B4173E"/>
    <w:rsid w:val="00B4525F"/>
    <w:rsid w:val="00B47D04"/>
    <w:rsid w:val="00B515A9"/>
    <w:rsid w:val="00B570E6"/>
    <w:rsid w:val="00B717CC"/>
    <w:rsid w:val="00B71BE0"/>
    <w:rsid w:val="00B75C30"/>
    <w:rsid w:val="00B75DDE"/>
    <w:rsid w:val="00B90989"/>
    <w:rsid w:val="00B911C1"/>
    <w:rsid w:val="00B920C1"/>
    <w:rsid w:val="00B921D5"/>
    <w:rsid w:val="00BA0437"/>
    <w:rsid w:val="00BA5662"/>
    <w:rsid w:val="00BA5F2E"/>
    <w:rsid w:val="00BA7A62"/>
    <w:rsid w:val="00BB0504"/>
    <w:rsid w:val="00BB69E6"/>
    <w:rsid w:val="00BD3B4C"/>
    <w:rsid w:val="00BD533D"/>
    <w:rsid w:val="00BD53AD"/>
    <w:rsid w:val="00BE67BF"/>
    <w:rsid w:val="00BF6427"/>
    <w:rsid w:val="00C034A7"/>
    <w:rsid w:val="00C03671"/>
    <w:rsid w:val="00C03E96"/>
    <w:rsid w:val="00C05D2F"/>
    <w:rsid w:val="00C10D64"/>
    <w:rsid w:val="00C2792E"/>
    <w:rsid w:val="00C33552"/>
    <w:rsid w:val="00C41450"/>
    <w:rsid w:val="00C4501A"/>
    <w:rsid w:val="00C479AC"/>
    <w:rsid w:val="00C50FCA"/>
    <w:rsid w:val="00C655BA"/>
    <w:rsid w:val="00C65912"/>
    <w:rsid w:val="00C80967"/>
    <w:rsid w:val="00C85247"/>
    <w:rsid w:val="00C9091A"/>
    <w:rsid w:val="00C9522A"/>
    <w:rsid w:val="00C9607C"/>
    <w:rsid w:val="00C97B48"/>
    <w:rsid w:val="00CB6455"/>
    <w:rsid w:val="00CB748D"/>
    <w:rsid w:val="00CD575E"/>
    <w:rsid w:val="00CE4BC4"/>
    <w:rsid w:val="00CE5087"/>
    <w:rsid w:val="00CE5E33"/>
    <w:rsid w:val="00CF0B92"/>
    <w:rsid w:val="00D01351"/>
    <w:rsid w:val="00D07F4F"/>
    <w:rsid w:val="00D15034"/>
    <w:rsid w:val="00D16A79"/>
    <w:rsid w:val="00D228DF"/>
    <w:rsid w:val="00D32146"/>
    <w:rsid w:val="00D4316F"/>
    <w:rsid w:val="00D53C3F"/>
    <w:rsid w:val="00D56392"/>
    <w:rsid w:val="00D61431"/>
    <w:rsid w:val="00D70F2B"/>
    <w:rsid w:val="00D71117"/>
    <w:rsid w:val="00D83D47"/>
    <w:rsid w:val="00D846CE"/>
    <w:rsid w:val="00D95A96"/>
    <w:rsid w:val="00DA5A00"/>
    <w:rsid w:val="00DB10B9"/>
    <w:rsid w:val="00DC55C7"/>
    <w:rsid w:val="00DC69AA"/>
    <w:rsid w:val="00DD2651"/>
    <w:rsid w:val="00DD4D98"/>
    <w:rsid w:val="00DE1149"/>
    <w:rsid w:val="00DF0A2B"/>
    <w:rsid w:val="00DF5706"/>
    <w:rsid w:val="00DF7761"/>
    <w:rsid w:val="00DF791C"/>
    <w:rsid w:val="00E13D31"/>
    <w:rsid w:val="00E13E41"/>
    <w:rsid w:val="00E17A6E"/>
    <w:rsid w:val="00E30332"/>
    <w:rsid w:val="00E31155"/>
    <w:rsid w:val="00E4081D"/>
    <w:rsid w:val="00E41F5A"/>
    <w:rsid w:val="00E42136"/>
    <w:rsid w:val="00E53A3D"/>
    <w:rsid w:val="00E53CC2"/>
    <w:rsid w:val="00E56156"/>
    <w:rsid w:val="00E6065F"/>
    <w:rsid w:val="00E62979"/>
    <w:rsid w:val="00E6374F"/>
    <w:rsid w:val="00E65B05"/>
    <w:rsid w:val="00E65F57"/>
    <w:rsid w:val="00E77434"/>
    <w:rsid w:val="00E82E23"/>
    <w:rsid w:val="00E905B4"/>
    <w:rsid w:val="00E9290F"/>
    <w:rsid w:val="00E950B3"/>
    <w:rsid w:val="00EA123F"/>
    <w:rsid w:val="00EA3CB4"/>
    <w:rsid w:val="00EC0B08"/>
    <w:rsid w:val="00EC1F35"/>
    <w:rsid w:val="00EE29BC"/>
    <w:rsid w:val="00EE7044"/>
    <w:rsid w:val="00F14373"/>
    <w:rsid w:val="00F216D6"/>
    <w:rsid w:val="00F5389B"/>
    <w:rsid w:val="00F62BDB"/>
    <w:rsid w:val="00F64741"/>
    <w:rsid w:val="00F743EF"/>
    <w:rsid w:val="00F74681"/>
    <w:rsid w:val="00F83575"/>
    <w:rsid w:val="00F846D8"/>
    <w:rsid w:val="00F84F2E"/>
    <w:rsid w:val="00F90257"/>
    <w:rsid w:val="00F95AD9"/>
    <w:rsid w:val="00FA4B89"/>
    <w:rsid w:val="00FA5E5D"/>
    <w:rsid w:val="00FA7A48"/>
    <w:rsid w:val="00FB471F"/>
    <w:rsid w:val="00FB51AD"/>
    <w:rsid w:val="00FC2CFE"/>
    <w:rsid w:val="00FC30F1"/>
    <w:rsid w:val="00FC3D73"/>
    <w:rsid w:val="00FE2B15"/>
    <w:rsid w:val="00FE3B10"/>
    <w:rsid w:val="00FE58DB"/>
    <w:rsid w:val="00FE7CAB"/>
    <w:rsid w:val="00FF118D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30332"/>
    <w:pPr>
      <w:spacing w:before="168" w:after="48"/>
      <w:outlineLvl w:val="3"/>
    </w:pPr>
    <w:rPr>
      <w:b/>
      <w:bCs/>
      <w:color w:val="1060B8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26F3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26F3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D05DF"/>
    <w:pPr>
      <w:ind w:left="2552" w:right="-70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826F38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26F3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826F38"/>
    <w:rPr>
      <w:b/>
    </w:rPr>
  </w:style>
  <w:style w:type="paragraph" w:styleId="Odstavecseseznamem">
    <w:name w:val="List Paragraph"/>
    <w:basedOn w:val="Normln"/>
    <w:uiPriority w:val="99"/>
    <w:qFormat/>
    <w:rsid w:val="00B03FF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F0157"/>
    <w:rPr>
      <w:b/>
      <w:bCs/>
      <w:i w:val="0"/>
      <w:iCs w:val="0"/>
    </w:rPr>
  </w:style>
  <w:style w:type="character" w:customStyle="1" w:styleId="st1">
    <w:name w:val="st1"/>
    <w:basedOn w:val="Standardnpsmoodstavce"/>
    <w:rsid w:val="002F0157"/>
  </w:style>
  <w:style w:type="paragraph" w:customStyle="1" w:styleId="Paragrafneeslovan">
    <w:name w:val="Paragraf neeíslovaný"/>
    <w:basedOn w:val="Normln"/>
    <w:rsid w:val="00932652"/>
    <w:pPr>
      <w:jc w:val="both"/>
    </w:pPr>
    <w:rPr>
      <w:sz w:val="24"/>
    </w:rPr>
  </w:style>
  <w:style w:type="paragraph" w:customStyle="1" w:styleId="Default">
    <w:name w:val="Default"/>
    <w:rsid w:val="00674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C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CD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2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1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1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1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0332"/>
    <w:rPr>
      <w:rFonts w:ascii="Times New Roman" w:eastAsia="Times New Roman" w:hAnsi="Times New Roman" w:cs="Times New Roman"/>
      <w:b/>
      <w:bCs/>
      <w:color w:val="1060B8"/>
      <w:sz w:val="26"/>
      <w:szCs w:val="26"/>
      <w:lang w:eastAsia="cs-CZ"/>
    </w:rPr>
  </w:style>
  <w:style w:type="character" w:customStyle="1" w:styleId="popis1">
    <w:name w:val="popis1"/>
    <w:basedOn w:val="Standardnpsmoodstavce"/>
    <w:rsid w:val="00E30332"/>
    <w:rPr>
      <w:vanish w:val="0"/>
      <w:webHidden w:val="0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070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9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30332"/>
    <w:pPr>
      <w:spacing w:before="168" w:after="48"/>
      <w:outlineLvl w:val="3"/>
    </w:pPr>
    <w:rPr>
      <w:b/>
      <w:bCs/>
      <w:color w:val="1060B8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26F3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26F3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D05DF"/>
    <w:pPr>
      <w:ind w:left="2552" w:right="-70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826F38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26F3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826F38"/>
    <w:rPr>
      <w:b/>
    </w:rPr>
  </w:style>
  <w:style w:type="paragraph" w:styleId="Odstavecseseznamem">
    <w:name w:val="List Paragraph"/>
    <w:basedOn w:val="Normln"/>
    <w:uiPriority w:val="99"/>
    <w:qFormat/>
    <w:rsid w:val="00B03FF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F0157"/>
    <w:rPr>
      <w:b/>
      <w:bCs/>
      <w:i w:val="0"/>
      <w:iCs w:val="0"/>
    </w:rPr>
  </w:style>
  <w:style w:type="character" w:customStyle="1" w:styleId="st1">
    <w:name w:val="st1"/>
    <w:basedOn w:val="Standardnpsmoodstavce"/>
    <w:rsid w:val="002F0157"/>
  </w:style>
  <w:style w:type="paragraph" w:customStyle="1" w:styleId="Paragrafneeslovan">
    <w:name w:val="Paragraf neeíslovaný"/>
    <w:basedOn w:val="Normln"/>
    <w:rsid w:val="00932652"/>
    <w:pPr>
      <w:jc w:val="both"/>
    </w:pPr>
    <w:rPr>
      <w:sz w:val="24"/>
    </w:rPr>
  </w:style>
  <w:style w:type="paragraph" w:customStyle="1" w:styleId="Default">
    <w:name w:val="Default"/>
    <w:rsid w:val="00674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C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CD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2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1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1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1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0332"/>
    <w:rPr>
      <w:rFonts w:ascii="Times New Roman" w:eastAsia="Times New Roman" w:hAnsi="Times New Roman" w:cs="Times New Roman"/>
      <w:b/>
      <w:bCs/>
      <w:color w:val="1060B8"/>
      <w:sz w:val="26"/>
      <w:szCs w:val="26"/>
      <w:lang w:eastAsia="cs-CZ"/>
    </w:rPr>
  </w:style>
  <w:style w:type="character" w:customStyle="1" w:styleId="popis1">
    <w:name w:val="popis1"/>
    <w:basedOn w:val="Standardnpsmoodstavce"/>
    <w:rsid w:val="00E30332"/>
    <w:rPr>
      <w:vanish w:val="0"/>
      <w:webHidden w:val="0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070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09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80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211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C04E-3E19-4617-8450-6F42B2DE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2118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Zvěřinová Kateřina</dc:creator>
  <cp:lastModifiedBy>Karasová Věra</cp:lastModifiedBy>
  <cp:revision>4</cp:revision>
  <cp:lastPrinted>2017-01-06T09:00:00Z</cp:lastPrinted>
  <dcterms:created xsi:type="dcterms:W3CDTF">2019-01-28T11:01:00Z</dcterms:created>
  <dcterms:modified xsi:type="dcterms:W3CDTF">2019-01-28T11:03:00Z</dcterms:modified>
</cp:coreProperties>
</file>