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5AC" w:rsidRPr="002A6DE5" w:rsidRDefault="0015352B" w:rsidP="009C53E1">
      <w:pPr>
        <w:pStyle w:val="nadpcent"/>
      </w:pPr>
      <w:r w:rsidRPr="002A6DE5">
        <w:t>Důvodová zpráva</w:t>
      </w:r>
    </w:p>
    <w:p w:rsidR="00DD65AC" w:rsidRPr="002A6DE5" w:rsidRDefault="0015352B" w:rsidP="00924018">
      <w:pPr>
        <w:pStyle w:val="ostzahl"/>
      </w:pPr>
      <w:r w:rsidRPr="002A6DE5">
        <w:t>Název problému a jeho charakteristika</w:t>
      </w:r>
    </w:p>
    <w:p w:rsidR="00793AF4" w:rsidRPr="002A6DE5" w:rsidRDefault="005D30D2" w:rsidP="005F3C7C">
      <w:pPr>
        <w:pStyle w:val="Paragrafneslovan"/>
      </w:pPr>
      <w:r>
        <w:t>Ž</w:t>
      </w:r>
      <w:r w:rsidR="00D87ECE">
        <w:t>ádost subjektu Plzeň 2015</w:t>
      </w:r>
      <w:r w:rsidR="00D87ECE" w:rsidRPr="00FB433E">
        <w:t>, z</w:t>
      </w:r>
      <w:r w:rsidR="00D87ECE">
        <w:t xml:space="preserve">apsaný </w:t>
      </w:r>
      <w:r w:rsidR="00D87ECE" w:rsidRPr="00FB433E">
        <w:t>ú</w:t>
      </w:r>
      <w:r w:rsidR="00D87ECE">
        <w:t>stav, o p</w:t>
      </w:r>
      <w:r w:rsidR="00793AF4" w:rsidRPr="002A6DE5">
        <w:t>oskytnutí</w:t>
      </w:r>
      <w:r w:rsidR="00347465">
        <w:t xml:space="preserve"> </w:t>
      </w:r>
      <w:r w:rsidR="0099778E">
        <w:t>finančního daru ve výši 283 000 Kč</w:t>
      </w:r>
      <w:r w:rsidR="00731098">
        <w:t>,</w:t>
      </w:r>
      <w:r w:rsidR="0099778E" w:rsidRPr="0099778E">
        <w:t xml:space="preserve"> </w:t>
      </w:r>
      <w:r w:rsidR="0099778E">
        <w:t>a to jako kompenzaci ušlého zisku z pronájmů prostor, ke kterému došlo v souladu s opatřeními ke</w:t>
      </w:r>
      <w:r w:rsidR="00F50344">
        <w:t> </w:t>
      </w:r>
      <w:r w:rsidR="0099778E">
        <w:t xml:space="preserve">zmírnění negativních dopadů </w:t>
      </w:r>
      <w:proofErr w:type="spellStart"/>
      <w:r w:rsidR="0099778E">
        <w:t>koronavirové</w:t>
      </w:r>
      <w:proofErr w:type="spellEnd"/>
      <w:r w:rsidR="0099778E">
        <w:t xml:space="preserve"> krize na území města Plzně</w:t>
      </w:r>
      <w:r w:rsidR="00D87ECE">
        <w:t xml:space="preserve">  </w:t>
      </w:r>
    </w:p>
    <w:p w:rsidR="00DD65AC" w:rsidRPr="002A6DE5" w:rsidRDefault="0015352B" w:rsidP="00B1409D">
      <w:pPr>
        <w:pStyle w:val="ostzahl"/>
      </w:pPr>
      <w:r w:rsidRPr="002A6DE5">
        <w:t>Konstatování současného stavu a jeho analýza</w:t>
      </w:r>
    </w:p>
    <w:p w:rsidR="00D36A43" w:rsidRDefault="005D30D2" w:rsidP="007320CC">
      <w:pPr>
        <w:pStyle w:val="Paragrafneslovan"/>
      </w:pPr>
      <w:r>
        <w:t>Odbor kultury Magistrátu</w:t>
      </w:r>
      <w:r w:rsidR="00831764">
        <w:t xml:space="preserve"> města Plzně (dále jen „OK MMP“) obdržel </w:t>
      </w:r>
      <w:r w:rsidR="00512690">
        <w:t xml:space="preserve">dne </w:t>
      </w:r>
      <w:r w:rsidR="001C7698">
        <w:t>7</w:t>
      </w:r>
      <w:r w:rsidR="00512690">
        <w:t xml:space="preserve">. 10. 2020 </w:t>
      </w:r>
      <w:r w:rsidR="00EB111D">
        <w:t>od </w:t>
      </w:r>
      <w:r w:rsidR="00C73A92">
        <w:t xml:space="preserve">subjektu </w:t>
      </w:r>
      <w:r w:rsidR="00C73A92" w:rsidRPr="00C44643">
        <w:t>Plz</w:t>
      </w:r>
      <w:r w:rsidR="00C73A92">
        <w:t xml:space="preserve">eň </w:t>
      </w:r>
      <w:r w:rsidR="00C73A92" w:rsidRPr="00C44643">
        <w:t>2015, z</w:t>
      </w:r>
      <w:r w:rsidR="00C73A92">
        <w:t>apsaný</w:t>
      </w:r>
      <w:r w:rsidR="00C73A92" w:rsidRPr="00C44643">
        <w:t xml:space="preserve"> ústav (IČO 29109124), se sídlem Presslova 14, 301 00 Plzeň</w:t>
      </w:r>
      <w:r w:rsidR="00C73A92">
        <w:t xml:space="preserve"> (dále jen „P2015“)</w:t>
      </w:r>
      <w:r w:rsidR="00C73A92" w:rsidRPr="00C44643">
        <w:t xml:space="preserve">, </w:t>
      </w:r>
      <w:r w:rsidR="00831764">
        <w:t>žádost o</w:t>
      </w:r>
      <w:r w:rsidR="00C73A92">
        <w:t xml:space="preserve"> poskytnutí </w:t>
      </w:r>
      <w:r w:rsidR="00731098">
        <w:t>finančního daru ve výši 283 000 Kč</w:t>
      </w:r>
      <w:r w:rsidR="001C7698">
        <w:t xml:space="preserve"> (</w:t>
      </w:r>
      <w:r w:rsidR="001C7698">
        <w:rPr>
          <w:i/>
        </w:rPr>
        <w:t>viz </w:t>
      </w:r>
      <w:r w:rsidR="001C7698" w:rsidRPr="00E45916">
        <w:rPr>
          <w:i/>
        </w:rPr>
        <w:t>Příloha č. 1</w:t>
      </w:r>
      <w:r w:rsidR="001C7698">
        <w:t>)</w:t>
      </w:r>
      <w:r w:rsidR="00731098">
        <w:t>,</w:t>
      </w:r>
      <w:r w:rsidR="00731098" w:rsidRPr="0099778E">
        <w:t xml:space="preserve"> </w:t>
      </w:r>
      <w:r w:rsidR="00731098">
        <w:t xml:space="preserve">a to jako kompenzaci ušlého zisku z pronájmů prostor, ke kterému </w:t>
      </w:r>
      <w:r w:rsidR="00EB111D">
        <w:t>došlo v souladu s</w:t>
      </w:r>
      <w:r w:rsidR="001C7698">
        <w:t xml:space="preserve"> městem Plzeň přijatými </w:t>
      </w:r>
      <w:r w:rsidR="00EB111D">
        <w:t>opatřeními ke </w:t>
      </w:r>
      <w:r w:rsidR="00731098">
        <w:t xml:space="preserve">zmírnění negativních dopadů </w:t>
      </w:r>
      <w:proofErr w:type="spellStart"/>
      <w:r w:rsidR="00731098">
        <w:t>ko</w:t>
      </w:r>
      <w:r w:rsidR="001C7698">
        <w:t>ronavirové</w:t>
      </w:r>
      <w:proofErr w:type="spellEnd"/>
      <w:r w:rsidR="001C7698">
        <w:t xml:space="preserve"> krize na území města</w:t>
      </w:r>
      <w:r w:rsidR="00B21E4F">
        <w:t>.</w:t>
      </w:r>
    </w:p>
    <w:p w:rsidR="00822296" w:rsidRPr="000A43E3" w:rsidRDefault="00822296" w:rsidP="00822296">
      <w:pPr>
        <w:pStyle w:val="Paragrafneslovan"/>
      </w:pPr>
      <w:r>
        <w:t xml:space="preserve">P2015 </w:t>
      </w:r>
      <w:r w:rsidRPr="000A43E3">
        <w:t xml:space="preserve">provozuje na základě smluv o výpůjčce objekty Kreativní zóny DEPO2015 a KD Peklo. V rámci těchto objektů pronajímá část prostor na základě dlouhodobých smluv celé řadě subjektů, a to jak z neziskového, tak i komerčního sektoru. </w:t>
      </w:r>
    </w:p>
    <w:p w:rsidR="000A43E3" w:rsidRDefault="00512690" w:rsidP="000A43E3">
      <w:pPr>
        <w:pStyle w:val="Paragrafneslovan"/>
      </w:pPr>
      <w:r>
        <w:t>P</w:t>
      </w:r>
      <w:r w:rsidR="000A43E3" w:rsidRPr="000A43E3">
        <w:t>říjmy z pronájmů představují pro společnost Plzeň 2015, zapsaný ústav</w:t>
      </w:r>
      <w:r w:rsidR="00EB111D">
        <w:t>,</w:t>
      </w:r>
      <w:r w:rsidR="000A43E3" w:rsidRPr="000A43E3">
        <w:t xml:space="preserve"> významnou část příjmů jejího rozpočtu. Takto získané zdroje jsou využívány na financování nákladů, které jsou nezbytně nutné k zajištění provozu a re</w:t>
      </w:r>
      <w:r w:rsidR="00822296">
        <w:t xml:space="preserve">alizaci kulturních aktivit, ale </w:t>
      </w:r>
      <w:r w:rsidR="000A43E3" w:rsidRPr="000A43E3">
        <w:t>není</w:t>
      </w:r>
      <w:r w:rsidR="00822296">
        <w:t xml:space="preserve"> </w:t>
      </w:r>
      <w:r w:rsidR="000A43E3" w:rsidRPr="000A43E3">
        <w:t xml:space="preserve">je možné hradit z poskytnuté provozní </w:t>
      </w:r>
      <w:r w:rsidR="000A43E3">
        <w:t>dotace. Jedná se například o </w:t>
      </w:r>
      <w:r w:rsidR="000A43E3" w:rsidRPr="000A43E3">
        <w:t>pojištění, nákup dlouhodobého majetku, cestovné apod.</w:t>
      </w:r>
    </w:p>
    <w:p w:rsidR="000A43E3" w:rsidRDefault="007B51A5" w:rsidP="000A43E3">
      <w:pPr>
        <w:pStyle w:val="Paragrafneslovan"/>
      </w:pPr>
      <w:r>
        <w:t>P2015, j</w:t>
      </w:r>
      <w:r w:rsidR="000A43E3" w:rsidRPr="000A43E3">
        <w:t>akožto s</w:t>
      </w:r>
      <w:r>
        <w:t>ubjekt</w:t>
      </w:r>
      <w:r w:rsidR="000A43E3" w:rsidRPr="000A43E3">
        <w:t xml:space="preserve"> </w:t>
      </w:r>
      <w:proofErr w:type="gramStart"/>
      <w:r w:rsidR="000A43E3" w:rsidRPr="000A43E3">
        <w:t>100%</w:t>
      </w:r>
      <w:proofErr w:type="gramEnd"/>
      <w:r w:rsidR="000A43E3" w:rsidRPr="000A43E3">
        <w:t xml:space="preserve"> vl</w:t>
      </w:r>
      <w:r>
        <w:t>astněný</w:t>
      </w:r>
      <w:r w:rsidR="000A43E3" w:rsidRPr="000A43E3">
        <w:t xml:space="preserve"> </w:t>
      </w:r>
      <w:r>
        <w:t>s</w:t>
      </w:r>
      <w:r w:rsidR="000A43E3" w:rsidRPr="000A43E3">
        <w:t>tatutárním městem Plzeň a zároveň provozovatel městských objektů</w:t>
      </w:r>
      <w:r>
        <w:t>,</w:t>
      </w:r>
      <w:r w:rsidR="000A43E3" w:rsidRPr="000A43E3">
        <w:t xml:space="preserve"> v souladu s programem „Plzeňská dvanáctka“ a usnesením R</w:t>
      </w:r>
      <w:r>
        <w:t>MP č. 421 ze </w:t>
      </w:r>
      <w:r w:rsidR="000A43E3" w:rsidRPr="000A43E3">
        <w:t>dne 1. 6. 2020</w:t>
      </w:r>
      <w:r>
        <w:t xml:space="preserve"> přistoupil</w:t>
      </w:r>
      <w:r w:rsidR="000A43E3" w:rsidRPr="000A43E3">
        <w:t xml:space="preserve"> k pomoci nájemcům formou schválených opatření ke zmírnění negativních dopadů </w:t>
      </w:r>
      <w:proofErr w:type="spellStart"/>
      <w:r w:rsidR="000A43E3" w:rsidRPr="000A43E3">
        <w:t>koronavirové</w:t>
      </w:r>
      <w:proofErr w:type="spellEnd"/>
      <w:r w:rsidR="000A43E3" w:rsidRPr="000A43E3">
        <w:t xml:space="preserve"> krize na území města Plzně.</w:t>
      </w:r>
    </w:p>
    <w:p w:rsidR="000A43E3" w:rsidRPr="000A43E3" w:rsidRDefault="000A43E3" w:rsidP="000A43E3">
      <w:pPr>
        <w:pStyle w:val="Paragrafneslovan"/>
      </w:pPr>
      <w:r w:rsidRPr="000A43E3">
        <w:t>Nájemci prostor byli vyzván</w:t>
      </w:r>
      <w:r w:rsidR="00CF4B98">
        <w:t>i</w:t>
      </w:r>
      <w:r w:rsidRPr="000A43E3">
        <w:t xml:space="preserve"> k podání žádostí o časově omezené odpuštění či snížení nájemného za měsíce </w:t>
      </w:r>
      <w:proofErr w:type="gramStart"/>
      <w:r w:rsidRPr="000A43E3">
        <w:t>duben – září</w:t>
      </w:r>
      <w:proofErr w:type="gramEnd"/>
      <w:r w:rsidRPr="000A43E3">
        <w:t xml:space="preserve"> 2020. Celkem bylo doručeno 16 žádostí. Celková výše poskytnutých slev představuje částku 283 044,20 Kč. </w:t>
      </w:r>
    </w:p>
    <w:p w:rsidR="00512690" w:rsidRDefault="00512690" w:rsidP="000A43E3">
      <w:pPr>
        <w:pStyle w:val="Paragrafneslovan"/>
      </w:pPr>
      <w:r w:rsidRPr="000A43E3">
        <w:t>Ředitel P2015</w:t>
      </w:r>
      <w:r>
        <w:t>, Ing. Jiří Suchánek,</w:t>
      </w:r>
      <w:r w:rsidRPr="000A43E3">
        <w:t xml:space="preserve"> svou žádost </w:t>
      </w:r>
      <w:r>
        <w:t>dokládá p</w:t>
      </w:r>
      <w:r w:rsidRPr="000A43E3">
        <w:t>řehled</w:t>
      </w:r>
      <w:r>
        <w:t>em</w:t>
      </w:r>
      <w:r w:rsidRPr="000A43E3">
        <w:t xml:space="preserve"> všech poskytnutých slev v jednotlivých měsících</w:t>
      </w:r>
      <w:r>
        <w:t>, který</w:t>
      </w:r>
      <w:r w:rsidRPr="000A43E3">
        <w:t xml:space="preserve"> je uveden v příloze č. 1 žádosti</w:t>
      </w:r>
      <w:r>
        <w:t xml:space="preserve"> (</w:t>
      </w:r>
      <w:r>
        <w:rPr>
          <w:i/>
        </w:rPr>
        <w:t>viz </w:t>
      </w:r>
      <w:r w:rsidRPr="00E45916">
        <w:rPr>
          <w:i/>
        </w:rPr>
        <w:t>Příloha č. 1</w:t>
      </w:r>
      <w:r>
        <w:t>).</w:t>
      </w:r>
    </w:p>
    <w:p w:rsidR="0032318B" w:rsidRDefault="00512690" w:rsidP="0032318B">
      <w:pPr>
        <w:pStyle w:val="Paragrafneslovan"/>
      </w:pPr>
      <w:r>
        <w:t xml:space="preserve">V žádosti zvolil ředitel P2015 formu </w:t>
      </w:r>
      <w:r w:rsidR="000A43E3" w:rsidRPr="000A43E3">
        <w:t>poskytnutí</w:t>
      </w:r>
      <w:r>
        <w:t xml:space="preserve"> finančních prostředků prostřednictvím</w:t>
      </w:r>
      <w:r w:rsidR="000A43E3" w:rsidRPr="000A43E3">
        <w:t xml:space="preserve"> daru namísto </w:t>
      </w:r>
      <w:r w:rsidR="0032318B">
        <w:t xml:space="preserve">možnosti požádat o </w:t>
      </w:r>
      <w:r>
        <w:t>z</w:t>
      </w:r>
      <w:r w:rsidR="000A43E3" w:rsidRPr="000A43E3">
        <w:t>výšení provozní dotace</w:t>
      </w:r>
      <w:r>
        <w:t xml:space="preserve">, která byla poskytnuta pro rok 2020 </w:t>
      </w:r>
      <w:r w:rsidR="0032318B">
        <w:t xml:space="preserve">subjektu </w:t>
      </w:r>
      <w:r>
        <w:t xml:space="preserve">P2015 na základě </w:t>
      </w:r>
      <w:r w:rsidR="0032318B">
        <w:t xml:space="preserve">usnesení ZMP č. 488 ze dne 9. 12. 2019 a </w:t>
      </w:r>
      <w:r w:rsidR="00822296">
        <w:t>uzavřené smlouvy č. </w:t>
      </w:r>
      <w:r>
        <w:t>2019/0067</w:t>
      </w:r>
      <w:r w:rsidR="0032318B">
        <w:t>20</w:t>
      </w:r>
      <w:r>
        <w:t xml:space="preserve"> o</w:t>
      </w:r>
      <w:r w:rsidR="001F0A75">
        <w:t> </w:t>
      </w:r>
      <w:r>
        <w:t xml:space="preserve">poskytnutí dotace </w:t>
      </w:r>
      <w:r w:rsidR="0032318B">
        <w:t>ve výši 15,9 mil. Kč</w:t>
      </w:r>
      <w:r w:rsidR="000A43E3" w:rsidRPr="000A43E3">
        <w:t xml:space="preserve">. </w:t>
      </w:r>
      <w:r>
        <w:t>Jako důvod uvádí fakt, že v</w:t>
      </w:r>
      <w:r w:rsidR="000A43E3" w:rsidRPr="000A43E3">
        <w:t xml:space="preserve"> případě </w:t>
      </w:r>
      <w:r>
        <w:t>z</w:t>
      </w:r>
      <w:r w:rsidR="000A43E3" w:rsidRPr="000A43E3">
        <w:t xml:space="preserve">výšení provozní dotace by bylo pro </w:t>
      </w:r>
      <w:r>
        <w:t>P2015</w:t>
      </w:r>
      <w:r w:rsidR="000A43E3" w:rsidRPr="000A43E3">
        <w:t xml:space="preserve"> problematické tuto dotaci vyúčtovat v souladu s</w:t>
      </w:r>
      <w:r>
        <w:t> </w:t>
      </w:r>
      <w:r w:rsidR="000A43E3" w:rsidRPr="000A43E3">
        <w:t>podmínkami</w:t>
      </w:r>
      <w:r>
        <w:t xml:space="preserve"> uvedenými v Zásadách poskytování dotací z rozpočtu statutárního města Plzeň</w:t>
      </w:r>
      <w:r w:rsidR="000A43E3" w:rsidRPr="000A43E3">
        <w:t xml:space="preserve">, </w:t>
      </w:r>
      <w:r w:rsidR="0032318B">
        <w:t xml:space="preserve">resp. nemožnosti uplatnit náklady k vyúčtování z dotace, </w:t>
      </w:r>
      <w:r w:rsidR="000A43E3" w:rsidRPr="000A43E3">
        <w:t xml:space="preserve">a tedy by s velkou pravděpodobností došlo </w:t>
      </w:r>
      <w:r w:rsidR="0032318B">
        <w:t xml:space="preserve">k </w:t>
      </w:r>
      <w:r w:rsidR="000A43E3" w:rsidRPr="000A43E3">
        <w:t>problémům s financování</w:t>
      </w:r>
      <w:r w:rsidR="0032318B">
        <w:t>m</w:t>
      </w:r>
      <w:r w:rsidR="000A43E3" w:rsidRPr="000A43E3">
        <w:t xml:space="preserve"> </w:t>
      </w:r>
      <w:r w:rsidR="0032318B">
        <w:t>provozu</w:t>
      </w:r>
      <w:r w:rsidR="000A43E3" w:rsidRPr="000A43E3">
        <w:t xml:space="preserve"> společnosti.</w:t>
      </w:r>
    </w:p>
    <w:p w:rsidR="004313F4" w:rsidRPr="0032318B" w:rsidRDefault="00512690" w:rsidP="0032318B">
      <w:pPr>
        <w:pStyle w:val="Paragrafneslovan"/>
        <w:ind w:left="-567"/>
        <w:rPr>
          <w:rStyle w:val="Siln"/>
          <w:b w:val="0"/>
          <w:bCs w:val="0"/>
        </w:rPr>
      </w:pPr>
      <w:r>
        <w:rPr>
          <w:rStyle w:val="Siln"/>
          <w:b w:val="0"/>
          <w:color w:val="000000"/>
        </w:rPr>
        <w:t xml:space="preserve">Subjekt </w:t>
      </w:r>
      <w:r w:rsidR="004313F4" w:rsidRPr="00BB02A1">
        <w:rPr>
          <w:rStyle w:val="Siln"/>
          <w:b w:val="0"/>
          <w:color w:val="000000"/>
        </w:rPr>
        <w:t>P2015 čerpal z rozpočtu města Plzně v předešlých letech následující dotace:</w:t>
      </w: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09"/>
        <w:gridCol w:w="458"/>
        <w:gridCol w:w="122"/>
        <w:gridCol w:w="3422"/>
        <w:gridCol w:w="900"/>
        <w:gridCol w:w="1226"/>
        <w:gridCol w:w="1276"/>
        <w:gridCol w:w="1275"/>
        <w:gridCol w:w="993"/>
      </w:tblGrid>
      <w:tr w:rsidR="0032318B" w:rsidTr="0032318B">
        <w:trPr>
          <w:trHeight w:val="255"/>
          <w:tblHeader/>
        </w:trPr>
        <w:tc>
          <w:tcPr>
            <w:tcW w:w="10632" w:type="dxa"/>
            <w:gridSpan w:val="10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2318B" w:rsidRDefault="003231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29109124 - Plzeň 2015, zapsaný ústav</w:t>
            </w:r>
          </w:p>
        </w:tc>
      </w:tr>
      <w:tr w:rsidR="0032318B" w:rsidTr="009F3533">
        <w:trPr>
          <w:trHeight w:val="225"/>
          <w:tblHeader/>
        </w:trPr>
        <w:tc>
          <w:tcPr>
            <w:tcW w:w="851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2318B" w:rsidRDefault="003231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2318B" w:rsidRDefault="003231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2318B" w:rsidRDefault="003231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2318B" w:rsidRDefault="003231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2318B" w:rsidRDefault="003231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2318B" w:rsidRDefault="003231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2318B" w:rsidRDefault="003231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2318B" w:rsidRDefault="003231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32318B" w:rsidTr="009F3533">
        <w:trPr>
          <w:trHeight w:val="240"/>
          <w:tblHeader/>
        </w:trPr>
        <w:tc>
          <w:tcPr>
            <w:tcW w:w="851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2318B" w:rsidRDefault="00323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2318B" w:rsidRDefault="00323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2318B" w:rsidRDefault="00323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2318B" w:rsidRDefault="003231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35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2318B" w:rsidRDefault="003231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2318B" w:rsidRDefault="003231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2318B" w:rsidRDefault="003231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2318B" w:rsidRDefault="003231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32318B" w:rsidTr="009F3533">
        <w:trPr>
          <w:trHeight w:val="690"/>
        </w:trPr>
        <w:tc>
          <w:tcPr>
            <w:tcW w:w="85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Plzeň 2015, z.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ú.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Provoz společnosti a zajištění kulturního a uměleckého programu (z toho KD Peklo 3 mil. Kč) v roce 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318B" w:rsidTr="009F3533">
        <w:trPr>
          <w:trHeight w:val="240"/>
        </w:trPr>
        <w:tc>
          <w:tcPr>
            <w:tcW w:w="85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KULT-Z/3 - Plzeň 2015, z.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318B" w:rsidTr="009F3533">
        <w:trPr>
          <w:trHeight w:val="240"/>
        </w:trPr>
        <w:tc>
          <w:tcPr>
            <w:tcW w:w="85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RP/1 - Za barokem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318B" w:rsidTr="009F3533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RP/2 - 100. výročí vzniku Československé republiky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32318B" w:rsidTr="009F3533">
        <w:trPr>
          <w:trHeight w:val="240"/>
        </w:trPr>
        <w:tc>
          <w:tcPr>
            <w:tcW w:w="85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RP/3 - Festival světla BLIK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BLIK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790</w:t>
            </w:r>
          </w:p>
        </w:tc>
      </w:tr>
      <w:tr w:rsidR="0032318B" w:rsidTr="009F3533">
        <w:trPr>
          <w:trHeight w:val="690"/>
        </w:trPr>
        <w:tc>
          <w:tcPr>
            <w:tcW w:w="85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Plzeň 2015, z.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ú.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Neinvestiční dotace na náklady spojené s provozem KD PEKLO a s realizací uměleckého a kulturního programu v tomto objektu.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318B" w:rsidTr="009F3533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MMP-OK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Plzeň 2015, z.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ú.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Neinvestiční dotace na realizaci výstavy "100 let republiky očima pěti generací"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799 900,00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799 900,00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318B" w:rsidTr="009F353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Plzeň 2015, z.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ú.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Dotace na vybudování tržnice v areálu Kreativní zóny DEPO2015 (investiční část: 1.200 tis.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Kč - původně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2.774 tis. Kč - sníženo, neinvestiční část 725 tis. Kč).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318B" w:rsidTr="009F3533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Autorská interaktivní výstava 100 let Československa očima pěti generací - rok 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318B" w:rsidTr="009F3533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Honoráře a materiální náklady na realizaci interaktivní výstavy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318B" w:rsidTr="009F3533">
        <w:trPr>
          <w:trHeight w:val="638"/>
        </w:trPr>
        <w:tc>
          <w:tcPr>
            <w:tcW w:w="85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Plzeň 2015,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z.ú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- individuální dotace na obměnu výpočetní techniky (včetně software) a mobilních telefonů a nákup audiovizuální techniky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318B" w:rsidTr="009F3533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Plzeň 2015,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z.ú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- individuální dotace na opravu vrat "Autobusové haly" v objektu DEPO2015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2 988,54</w:t>
            </w:r>
          </w:p>
        </w:tc>
      </w:tr>
      <w:tr w:rsidR="0032318B" w:rsidTr="009F3533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Plzeň 2015, z.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ú.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individuální dotace na realizaci výstavy Plzeň Design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318B" w:rsidTr="009F3533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Plzeň 2015, z.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ú.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individuální dotace na realizaci projektu "Dožínky"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318B" w:rsidTr="009F3533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Plzeň 2015, z.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ú.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Dotace na komplexní čištění a konzervaci topného systému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24 948,00</w:t>
            </w:r>
          </w:p>
        </w:tc>
      </w:tr>
      <w:tr w:rsidR="0032318B" w:rsidTr="009F3533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Plzeň 2015, z.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ú.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Investiční dotace na pořízení mobilní taneční podlahy do Autobusové haly objektu DEPO2015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318B" w:rsidTr="009F3533">
        <w:trPr>
          <w:trHeight w:val="240"/>
        </w:trPr>
        <w:tc>
          <w:tcPr>
            <w:tcW w:w="5862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hideMark/>
          </w:tcPr>
          <w:p w:rsidR="0032318B" w:rsidRDefault="0032318B" w:rsidP="0032318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25 634 140,00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19 261 600,00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19 251 600,00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78 726,54</w:t>
            </w:r>
          </w:p>
        </w:tc>
      </w:tr>
      <w:tr w:rsidR="0032318B" w:rsidTr="009F3533">
        <w:trPr>
          <w:trHeight w:val="465"/>
        </w:trPr>
        <w:tc>
          <w:tcPr>
            <w:tcW w:w="96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Plzeň 2015 - neinvestiční náklady na provoz a činnost společnosti v roce 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318B" w:rsidTr="009F3533">
        <w:trPr>
          <w:trHeight w:val="240"/>
        </w:trPr>
        <w:tc>
          <w:tcPr>
            <w:tcW w:w="96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Realizace festivalu světla BLIK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BLIK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318B" w:rsidTr="009F3533">
        <w:trPr>
          <w:trHeight w:val="544"/>
        </w:trPr>
        <w:tc>
          <w:tcPr>
            <w:tcW w:w="96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Realizace interaktivní expozice JÁ, HRDINA, spojené s doprovodným programem pro děti a mládež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318B" w:rsidTr="009F3533">
        <w:trPr>
          <w:trHeight w:val="465"/>
        </w:trPr>
        <w:tc>
          <w:tcPr>
            <w:tcW w:w="96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Plzeň 2015 - neinvestiční dotace na provoz a činnost společnosti v roce 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318B" w:rsidTr="009F3533">
        <w:trPr>
          <w:trHeight w:val="465"/>
        </w:trPr>
        <w:tc>
          <w:tcPr>
            <w:tcW w:w="96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Plzeň 2015 - investiční dotace na pořízení audio vybavení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318B" w:rsidTr="009F3533">
        <w:trPr>
          <w:trHeight w:val="240"/>
        </w:trPr>
        <w:tc>
          <w:tcPr>
            <w:tcW w:w="96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RP/5 - Festival světla BLIK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BLIK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318B" w:rsidTr="009F3533">
        <w:trPr>
          <w:trHeight w:val="240"/>
        </w:trPr>
        <w:tc>
          <w:tcPr>
            <w:tcW w:w="96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RP/6 - Otevřená rezidence DEPO2015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318B" w:rsidTr="009F3533">
        <w:trPr>
          <w:trHeight w:val="240"/>
        </w:trPr>
        <w:tc>
          <w:tcPr>
            <w:tcW w:w="96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RP/7 - Plzeň Design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318B" w:rsidTr="009F3533">
        <w:trPr>
          <w:trHeight w:val="240"/>
        </w:trPr>
        <w:tc>
          <w:tcPr>
            <w:tcW w:w="96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MMP-KP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Náplavka u Radbuzy se otevírá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318B" w:rsidTr="009F3533">
        <w:trPr>
          <w:trHeight w:val="240"/>
        </w:trPr>
        <w:tc>
          <w:tcPr>
            <w:tcW w:w="96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KULT-Z/3 - Plzeň 2015, z.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ú.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činnost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318B" w:rsidTr="009F3533">
        <w:trPr>
          <w:trHeight w:val="240"/>
        </w:trPr>
        <w:tc>
          <w:tcPr>
            <w:tcW w:w="5862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hideMark/>
          </w:tcPr>
          <w:p w:rsidR="0032318B" w:rsidRDefault="0032318B" w:rsidP="0032318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18 995 000,00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17 295 000,00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17 295 000,00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2318B" w:rsidTr="009F3533">
        <w:trPr>
          <w:trHeight w:val="405"/>
        </w:trPr>
        <w:tc>
          <w:tcPr>
            <w:tcW w:w="96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Interaktivní expozice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GÓÓÓL :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Hrdinové české kopané, termín 22.1. - 30.6.2020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318B" w:rsidTr="009F3533">
        <w:trPr>
          <w:trHeight w:val="410"/>
        </w:trPr>
        <w:tc>
          <w:tcPr>
            <w:tcW w:w="96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Plzeň 2015 - neinvestiční dotace na projekt "Náplavka u Radbuzy 2020"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318B" w:rsidTr="009F3533">
        <w:trPr>
          <w:trHeight w:val="240"/>
        </w:trPr>
        <w:tc>
          <w:tcPr>
            <w:tcW w:w="96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RP/5 - Festival světla BLIK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BLIK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318B" w:rsidTr="009F3533">
        <w:trPr>
          <w:trHeight w:val="240"/>
        </w:trPr>
        <w:tc>
          <w:tcPr>
            <w:tcW w:w="96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RP/6 - Otevřená rezidence - NOVÝ CIRKUS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318B" w:rsidTr="009F3533">
        <w:trPr>
          <w:trHeight w:val="240"/>
        </w:trPr>
        <w:tc>
          <w:tcPr>
            <w:tcW w:w="96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RP/7 - Výstava Písmo a kaligrafie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318B" w:rsidTr="009F3533">
        <w:trPr>
          <w:trHeight w:val="465"/>
        </w:trPr>
        <w:tc>
          <w:tcPr>
            <w:tcW w:w="96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projekt WALLZ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Pilsen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Street Art Festival - materiální, provozní a mzdové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318B" w:rsidTr="009F3533">
        <w:trPr>
          <w:trHeight w:val="240"/>
        </w:trPr>
        <w:tc>
          <w:tcPr>
            <w:tcW w:w="96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WALLZ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Pilsen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Street Art Festival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318B" w:rsidTr="009F3533">
        <w:trPr>
          <w:trHeight w:val="240"/>
        </w:trPr>
        <w:tc>
          <w:tcPr>
            <w:tcW w:w="96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MMP-KP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DEPO V LETU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318B" w:rsidTr="009F3533">
        <w:trPr>
          <w:trHeight w:val="346"/>
        </w:trPr>
        <w:tc>
          <w:tcPr>
            <w:tcW w:w="96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ID_Plzeň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2015, zapsaný ústav - celoroční provoz a činnost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hideMark/>
          </w:tcPr>
          <w:p w:rsidR="0032318B" w:rsidRDefault="0032318B" w:rsidP="003231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318B" w:rsidTr="00B52708">
        <w:trPr>
          <w:trHeight w:val="448"/>
        </w:trPr>
        <w:tc>
          <w:tcPr>
            <w:tcW w:w="5862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32318B" w:rsidRDefault="0032318B" w:rsidP="009F3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17 695 000,00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17 019 200,00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16 929 200,00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2318B" w:rsidTr="00B52708">
        <w:trPr>
          <w:trHeight w:val="466"/>
        </w:trPr>
        <w:tc>
          <w:tcPr>
            <w:tcW w:w="5862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32318B" w:rsidRDefault="0032318B" w:rsidP="009F3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2018 - 2020</w:t>
            </w:r>
            <w:proofErr w:type="gramEnd"/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62 324 140,00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53 575 800,00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53 475 800,00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32318B" w:rsidRDefault="0032318B" w:rsidP="009F3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78 726,54</w:t>
            </w:r>
          </w:p>
        </w:tc>
      </w:tr>
    </w:tbl>
    <w:p w:rsidR="004313F4" w:rsidRDefault="004313F4" w:rsidP="00924018">
      <w:pPr>
        <w:pStyle w:val="Zkladntextodsazen"/>
        <w:ind w:left="0"/>
        <w:jc w:val="both"/>
      </w:pPr>
    </w:p>
    <w:p w:rsidR="009F3533" w:rsidRDefault="009F3533" w:rsidP="00924018">
      <w:pPr>
        <w:pStyle w:val="Zkladntextodsazen"/>
        <w:ind w:left="0"/>
        <w:jc w:val="both"/>
      </w:pPr>
    </w:p>
    <w:p w:rsidR="00523D47" w:rsidRDefault="00523D47" w:rsidP="00924018">
      <w:pPr>
        <w:pStyle w:val="Zkladntextodsazen"/>
        <w:ind w:left="0"/>
        <w:jc w:val="both"/>
      </w:pPr>
    </w:p>
    <w:p w:rsidR="00DD65AC" w:rsidRPr="002A6DE5" w:rsidRDefault="0015352B" w:rsidP="00924018">
      <w:pPr>
        <w:pStyle w:val="ostzahl"/>
      </w:pPr>
      <w:r w:rsidRPr="002A6DE5">
        <w:t>Předpokládaný cílový stav</w:t>
      </w:r>
    </w:p>
    <w:p w:rsidR="00541F29" w:rsidRDefault="00DA658A" w:rsidP="005F3C7C">
      <w:pPr>
        <w:pStyle w:val="Paragrafneslovan"/>
      </w:pPr>
      <w:r w:rsidRPr="002A6DE5">
        <w:t>Poskytnutí</w:t>
      </w:r>
      <w:r w:rsidR="00066097">
        <w:t xml:space="preserve"> </w:t>
      </w:r>
      <w:r w:rsidR="009F3533">
        <w:t>finančního daru ve výši 283 000 Kč</w:t>
      </w:r>
      <w:r w:rsidR="009F3533" w:rsidRPr="0099778E">
        <w:t xml:space="preserve"> </w:t>
      </w:r>
      <w:r w:rsidR="00541F29">
        <w:t>z rozpočtu statutárního města</w:t>
      </w:r>
      <w:r w:rsidR="001C605A">
        <w:t xml:space="preserve"> Plzeň subjektu Plzeň 2015</w:t>
      </w:r>
      <w:r w:rsidR="00541F29" w:rsidRPr="00FB433E">
        <w:t>, z</w:t>
      </w:r>
      <w:r w:rsidR="00541F29">
        <w:t xml:space="preserve">apsaný </w:t>
      </w:r>
      <w:r w:rsidR="00541F29" w:rsidRPr="00FB433E">
        <w:t>ú</w:t>
      </w:r>
      <w:r w:rsidR="00541F29">
        <w:t>stav</w:t>
      </w:r>
      <w:r w:rsidR="00541F29" w:rsidRPr="00FB433E">
        <w:t xml:space="preserve"> (IČ</w:t>
      </w:r>
      <w:r w:rsidR="00541F29">
        <w:t>O</w:t>
      </w:r>
      <w:r w:rsidR="00541F29" w:rsidRPr="00FB433E">
        <w:t> 29109124), P</w:t>
      </w:r>
      <w:r w:rsidR="00541F29">
        <w:t>resslova</w:t>
      </w:r>
      <w:r w:rsidR="00541F29" w:rsidRPr="00FB433E">
        <w:t xml:space="preserve"> </w:t>
      </w:r>
      <w:r w:rsidR="00541F29">
        <w:t>2992/</w:t>
      </w:r>
      <w:r w:rsidR="00541F29" w:rsidRPr="00FB433E">
        <w:t>1</w:t>
      </w:r>
      <w:r w:rsidR="00541F29">
        <w:t>4</w:t>
      </w:r>
      <w:r w:rsidR="00541F29" w:rsidRPr="00FB433E">
        <w:t>, 301 00 Plzeň</w:t>
      </w:r>
      <w:r w:rsidR="00541F29">
        <w:t xml:space="preserve">, </w:t>
      </w:r>
      <w:r w:rsidR="009F3533">
        <w:t xml:space="preserve">a to jako kompenzaci ušlého zisku z pronájmů prostor, ke kterému došlo v souladu s opatřeními ke zmírnění negativních dopadů </w:t>
      </w:r>
      <w:proofErr w:type="spellStart"/>
      <w:r w:rsidR="009F3533">
        <w:t>koronavirové</w:t>
      </w:r>
      <w:proofErr w:type="spellEnd"/>
      <w:r w:rsidR="009F3533">
        <w:t xml:space="preserve"> krize na území města Plzně </w:t>
      </w:r>
      <w:bookmarkStart w:id="0" w:name="_GoBack"/>
      <w:bookmarkEnd w:id="0"/>
    </w:p>
    <w:p w:rsidR="00DD65AC" w:rsidRPr="002A6DE5" w:rsidRDefault="0015352B" w:rsidP="00924018">
      <w:pPr>
        <w:pStyle w:val="ostzahl"/>
      </w:pPr>
      <w:r w:rsidRPr="002A6DE5">
        <w:t>Navrhované varianty řešení</w:t>
      </w:r>
    </w:p>
    <w:p w:rsidR="00DA658A" w:rsidRDefault="000E154C" w:rsidP="005F3C7C">
      <w:pPr>
        <w:pStyle w:val="Paragrafneslovan"/>
      </w:pPr>
      <w:r>
        <w:t>Je navrhov</w:t>
      </w:r>
      <w:r w:rsidR="0059165A">
        <w:t>ána</w:t>
      </w:r>
      <w:r>
        <w:t xml:space="preserve"> jediná va</w:t>
      </w:r>
      <w:r w:rsidR="00336601">
        <w:t xml:space="preserve">rianta, a to poskytnout </w:t>
      </w:r>
      <w:r w:rsidR="009F3533">
        <w:t>finanční dar ve výši 283 000 Kč</w:t>
      </w:r>
      <w:r w:rsidR="009F3533" w:rsidRPr="0099778E">
        <w:t xml:space="preserve"> </w:t>
      </w:r>
      <w:r>
        <w:t>subjektu P</w:t>
      </w:r>
      <w:r w:rsidR="00336601">
        <w:t xml:space="preserve">lzeň </w:t>
      </w:r>
      <w:r>
        <w:t>2015</w:t>
      </w:r>
      <w:r w:rsidR="00336601">
        <w:t xml:space="preserve">, </w:t>
      </w:r>
      <w:r w:rsidR="00336601" w:rsidRPr="00FB433E">
        <w:t>z</w:t>
      </w:r>
      <w:r w:rsidR="00336601">
        <w:t xml:space="preserve">apsaný </w:t>
      </w:r>
      <w:r w:rsidR="00336601" w:rsidRPr="00FB433E">
        <w:t>ú</w:t>
      </w:r>
      <w:r w:rsidR="00336601">
        <w:t>stav.</w:t>
      </w:r>
    </w:p>
    <w:p w:rsidR="00DD65AC" w:rsidRPr="002A6DE5" w:rsidRDefault="0015352B" w:rsidP="00924018">
      <w:pPr>
        <w:pStyle w:val="ostzahl"/>
      </w:pPr>
      <w:r w:rsidRPr="002A6DE5">
        <w:t>Doporučená varianta řešení</w:t>
      </w:r>
    </w:p>
    <w:p w:rsidR="00DD65AC" w:rsidRDefault="0015352B" w:rsidP="005F3C7C">
      <w:pPr>
        <w:pStyle w:val="Paragrafneslovan"/>
      </w:pPr>
      <w:r w:rsidRPr="002A6DE5">
        <w:t xml:space="preserve">Doporučená varianta je uvedena v bodě č. 4 této Důvodové zprávy. </w:t>
      </w:r>
    </w:p>
    <w:p w:rsidR="00DD65AC" w:rsidRPr="002A6DE5" w:rsidRDefault="0015352B" w:rsidP="00924018">
      <w:pPr>
        <w:pStyle w:val="ostzahl"/>
      </w:pPr>
      <w:r w:rsidRPr="002A6DE5">
        <w:t>Finanční nároky řešení a možnosti finančního krytí</w:t>
      </w:r>
    </w:p>
    <w:p w:rsidR="00764D7C" w:rsidRPr="00FF0BAE" w:rsidRDefault="00764D7C" w:rsidP="00183431">
      <w:pPr>
        <w:pStyle w:val="vlevo"/>
      </w:pPr>
      <w:r w:rsidRPr="00FF0BAE">
        <w:t>Pro účel fin</w:t>
      </w:r>
      <w:r w:rsidR="00FF0BAE" w:rsidRPr="00FF0BAE">
        <w:t>ančního k</w:t>
      </w:r>
      <w:r w:rsidRPr="00FF0BAE">
        <w:t xml:space="preserve">rytí je v rámci </w:t>
      </w:r>
      <w:r w:rsidR="00FF0BAE" w:rsidRPr="00FF0BAE">
        <w:t>bodu ŘEÚ</w:t>
      </w:r>
      <w:r w:rsidRPr="00FF0BAE">
        <w:t>/</w:t>
      </w:r>
      <w:r w:rsidR="00E25FBD" w:rsidRPr="00AD40F1">
        <w:t>1</w:t>
      </w:r>
      <w:r w:rsidR="00E25FBD">
        <w:t xml:space="preserve"> </w:t>
      </w:r>
      <w:r w:rsidRPr="00FF0BAE">
        <w:t>navrženo r</w:t>
      </w:r>
      <w:r w:rsidR="00FF0BAE" w:rsidRPr="00FF0BAE">
        <w:t>ozpočtové opatření</w:t>
      </w:r>
      <w:r w:rsidRPr="00FF0BAE">
        <w:t xml:space="preserve"> spočívající v uvolnění prostředků blokov</w:t>
      </w:r>
      <w:r w:rsidR="00FF0BAE" w:rsidRPr="00FF0BAE">
        <w:t>aných</w:t>
      </w:r>
      <w:r w:rsidRPr="00FF0BAE">
        <w:t xml:space="preserve"> </w:t>
      </w:r>
      <w:r w:rsidR="00FF0BAE" w:rsidRPr="00FF0BAE">
        <w:t>v</w:t>
      </w:r>
      <w:r w:rsidRPr="00FF0BAE">
        <w:t xml:space="preserve">e </w:t>
      </w:r>
      <w:r w:rsidR="00FF0BAE" w:rsidRPr="00FF0BAE">
        <w:t>Fondu rezerv a rozvoje MP</w:t>
      </w:r>
      <w:r w:rsidRPr="00FF0BAE">
        <w:t xml:space="preserve"> na fin</w:t>
      </w:r>
      <w:r w:rsidR="00FF0BAE" w:rsidRPr="00FF0BAE">
        <w:t xml:space="preserve">anční </w:t>
      </w:r>
      <w:r w:rsidRPr="00FF0BAE">
        <w:t>zajištění dalších dopadů a opatření v </w:t>
      </w:r>
      <w:r w:rsidR="00FF0BAE" w:rsidRPr="00FF0BAE">
        <w:t>souvislosti</w:t>
      </w:r>
      <w:r w:rsidRPr="00FF0BAE">
        <w:t xml:space="preserve"> s </w:t>
      </w:r>
      <w:proofErr w:type="spellStart"/>
      <w:r w:rsidR="00FF0BAE" w:rsidRPr="00FF0BAE">
        <w:t>koronavirovou</w:t>
      </w:r>
      <w:proofErr w:type="spellEnd"/>
      <w:r w:rsidRPr="00FF0BAE">
        <w:t xml:space="preserve"> krizí</w:t>
      </w:r>
      <w:r w:rsidR="00FF0BAE" w:rsidRPr="00FF0BAE">
        <w:t>.</w:t>
      </w:r>
    </w:p>
    <w:p w:rsidR="00DD65AC" w:rsidRPr="002A6DE5" w:rsidRDefault="0015352B" w:rsidP="00924018">
      <w:pPr>
        <w:pStyle w:val="ostzahl"/>
      </w:pPr>
      <w:r w:rsidRPr="002A6DE5">
        <w:t>Návrh termínů realizace a určení zodpovědných pracovníků</w:t>
      </w:r>
    </w:p>
    <w:p w:rsidR="00DD65AC" w:rsidRPr="00723030" w:rsidRDefault="0015352B" w:rsidP="00183431">
      <w:pPr>
        <w:pStyle w:val="vlevo"/>
      </w:pPr>
      <w:r w:rsidRPr="00723030">
        <w:t>Viz ukládací část usnesení</w:t>
      </w:r>
    </w:p>
    <w:p w:rsidR="00DD65AC" w:rsidRPr="002A6DE5" w:rsidRDefault="0015352B" w:rsidP="00924018">
      <w:pPr>
        <w:pStyle w:val="ostzahl"/>
      </w:pPr>
      <w:r w:rsidRPr="002A6DE5">
        <w:t>Dříve přijatá usnesení orgánů města</w:t>
      </w:r>
      <w:r w:rsidR="00BA3659">
        <w:t xml:space="preserve"> nebo městských obvodů, která s </w:t>
      </w:r>
      <w:r w:rsidRPr="002A6DE5">
        <w:t>tímto návrhem souvisejí</w:t>
      </w:r>
    </w:p>
    <w:p w:rsidR="00AF266A" w:rsidRDefault="00336601" w:rsidP="00AF266A">
      <w:pPr>
        <w:pStyle w:val="vlevo"/>
        <w:spacing w:after="0"/>
      </w:pPr>
      <w:r>
        <w:t>Usnesení Z</w:t>
      </w:r>
      <w:r w:rsidRPr="00617306">
        <w:t xml:space="preserve">MP </w:t>
      </w:r>
      <w:r>
        <w:t>č. 48</w:t>
      </w:r>
      <w:r w:rsidR="00387D51">
        <w:t>1</w:t>
      </w:r>
      <w:r>
        <w:t xml:space="preserve"> ze dne </w:t>
      </w:r>
      <w:r w:rsidR="00387D51">
        <w:t>9</w:t>
      </w:r>
      <w:r>
        <w:t>. 12. 201</w:t>
      </w:r>
      <w:r w:rsidR="00387D51">
        <w:t>9</w:t>
      </w:r>
      <w:r>
        <w:t xml:space="preserve"> </w:t>
      </w:r>
      <w:r w:rsidR="00AF266A">
        <w:t xml:space="preserve">- </w:t>
      </w:r>
      <w:r w:rsidRPr="00617306">
        <w:t xml:space="preserve">ve věci schválení </w:t>
      </w:r>
      <w:r w:rsidR="00387D51">
        <w:t>rozpočtu města Plzně na rok 2020 a střednědobého výhledu rozpočtu v letech 2021</w:t>
      </w:r>
      <w:r w:rsidR="00AF266A">
        <w:t>–</w:t>
      </w:r>
      <w:r w:rsidR="00387D51">
        <w:t>2023</w:t>
      </w:r>
      <w:r w:rsidR="00AF266A">
        <w:t xml:space="preserve"> </w:t>
      </w:r>
    </w:p>
    <w:p w:rsidR="00F60DE0" w:rsidRDefault="00AF266A" w:rsidP="00AF266A">
      <w:pPr>
        <w:pStyle w:val="vlevo"/>
        <w:spacing w:after="0"/>
      </w:pPr>
      <w:r>
        <w:t>(</w:t>
      </w:r>
      <w:hyperlink r:id="rId8" w:history="1">
        <w:r w:rsidRPr="0077205F">
          <w:rPr>
            <w:rStyle w:val="Hypertextovodkaz"/>
          </w:rPr>
          <w:t>https://usneseni.plzen.eu/bin_Soubor.php?id=98685</w:t>
        </w:r>
      </w:hyperlink>
      <w:r>
        <w:t>)</w:t>
      </w:r>
      <w:r w:rsidR="00336601">
        <w:t xml:space="preserve"> </w:t>
      </w:r>
    </w:p>
    <w:p w:rsidR="009F3533" w:rsidRDefault="009F3533" w:rsidP="00AF266A">
      <w:pPr>
        <w:pStyle w:val="vlevo"/>
        <w:spacing w:after="0"/>
      </w:pPr>
      <w:r>
        <w:t xml:space="preserve">Usnesení ZMP č. 488 ze dne 9. 12. 2019 </w:t>
      </w:r>
      <w:r w:rsidR="00AF266A">
        <w:t xml:space="preserve">- </w:t>
      </w:r>
      <w:r>
        <w:t>ve věci schválení dotace na provoz a umělecký a kulturní program subjektu P2015 v roce 2020</w:t>
      </w:r>
    </w:p>
    <w:p w:rsidR="00AF266A" w:rsidRDefault="00AF266A" w:rsidP="00AF266A">
      <w:pPr>
        <w:pStyle w:val="vlevo"/>
        <w:spacing w:after="0"/>
      </w:pPr>
      <w:r>
        <w:t xml:space="preserve">( </w:t>
      </w:r>
      <w:hyperlink r:id="rId9" w:history="1">
        <w:r w:rsidRPr="00EA1C4B">
          <w:rPr>
            <w:rStyle w:val="Hypertextovodkaz"/>
          </w:rPr>
          <w:t>https://usneseni.plzen.eu/bin_Soubor.php?id=98697</w:t>
        </w:r>
      </w:hyperlink>
      <w:r>
        <w:t>)</w:t>
      </w:r>
    </w:p>
    <w:p w:rsidR="00DD65AC" w:rsidRPr="002A6DE5" w:rsidRDefault="0015352B" w:rsidP="00924018">
      <w:pPr>
        <w:pStyle w:val="ostzahl"/>
      </w:pPr>
      <w:r w:rsidRPr="002A6DE5">
        <w:t>Závazky či pohledávky vůči městu</w:t>
      </w:r>
    </w:p>
    <w:p w:rsidR="0053358F" w:rsidRPr="00723030" w:rsidRDefault="0053358F" w:rsidP="00183431">
      <w:pPr>
        <w:pStyle w:val="vlevo"/>
      </w:pPr>
      <w:r w:rsidRPr="00723030">
        <w:t>Nebyly zjištěny.</w:t>
      </w:r>
    </w:p>
    <w:p w:rsidR="009C230F" w:rsidRDefault="0053358F" w:rsidP="00183431">
      <w:pPr>
        <w:pStyle w:val="ostzahl"/>
        <w:ind w:hanging="502"/>
        <w:rPr>
          <w:szCs w:val="24"/>
        </w:rPr>
      </w:pPr>
      <w:r w:rsidRPr="00723030">
        <w:rPr>
          <w:szCs w:val="24"/>
        </w:rPr>
        <w:t>Přílohy</w:t>
      </w:r>
    </w:p>
    <w:p w:rsidR="005F3C7C" w:rsidRDefault="005F3C7C" w:rsidP="00183431">
      <w:pPr>
        <w:pStyle w:val="vlevo"/>
        <w:numPr>
          <w:ilvl w:val="0"/>
          <w:numId w:val="30"/>
        </w:numPr>
      </w:pPr>
      <w:r>
        <w:t>Žádost subjektu Plzeň 2015, zapsaný ústav, o poskytnutí d</w:t>
      </w:r>
      <w:r w:rsidR="009F3533">
        <w:t>aru</w:t>
      </w:r>
    </w:p>
    <w:p w:rsidR="00387D51" w:rsidRDefault="00387D51" w:rsidP="00387D51">
      <w:pPr>
        <w:pStyle w:val="vlevo"/>
        <w:ind w:left="720"/>
      </w:pPr>
    </w:p>
    <w:p w:rsidR="005F3C7C" w:rsidRPr="005F3C7C" w:rsidRDefault="005F3C7C" w:rsidP="00183431">
      <w:pPr>
        <w:pStyle w:val="vlevo"/>
      </w:pPr>
    </w:p>
    <w:sectPr w:rsidR="005F3C7C" w:rsidRPr="005F3C7C" w:rsidSect="00CF1587">
      <w:footerReference w:type="default" r:id="rId10"/>
      <w:pgSz w:w="11906" w:h="16838"/>
      <w:pgMar w:top="568" w:right="1133" w:bottom="709" w:left="1418" w:header="708" w:footer="4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C06" w:rsidRDefault="00576C06">
      <w:r>
        <w:separator/>
      </w:r>
    </w:p>
  </w:endnote>
  <w:endnote w:type="continuationSeparator" w:id="0">
    <w:p w:rsidR="00576C06" w:rsidRDefault="0057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74" w:rsidRDefault="00731074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143EBA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C06" w:rsidRDefault="00576C06">
      <w:r>
        <w:separator/>
      </w:r>
    </w:p>
  </w:footnote>
  <w:footnote w:type="continuationSeparator" w:id="0">
    <w:p w:rsidR="00576C06" w:rsidRDefault="00576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CAF"/>
    <w:multiLevelType w:val="hybridMultilevel"/>
    <w:tmpl w:val="9C2CCA3A"/>
    <w:lvl w:ilvl="0" w:tplc="9872C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1D6D"/>
    <w:multiLevelType w:val="hybridMultilevel"/>
    <w:tmpl w:val="438243EC"/>
    <w:lvl w:ilvl="0" w:tplc="04050011">
      <w:start w:val="1"/>
      <w:numFmt w:val="decimal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6146577"/>
    <w:multiLevelType w:val="hybridMultilevel"/>
    <w:tmpl w:val="803288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838D7"/>
    <w:multiLevelType w:val="hybridMultilevel"/>
    <w:tmpl w:val="990CFA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D0375"/>
    <w:multiLevelType w:val="hybridMultilevel"/>
    <w:tmpl w:val="8CCE437E"/>
    <w:lvl w:ilvl="0" w:tplc="36BA10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D4FE9"/>
    <w:multiLevelType w:val="hybridMultilevel"/>
    <w:tmpl w:val="1780E1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D54E3"/>
    <w:multiLevelType w:val="hybridMultilevel"/>
    <w:tmpl w:val="70BA04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C304A"/>
    <w:multiLevelType w:val="hybridMultilevel"/>
    <w:tmpl w:val="64126A9A"/>
    <w:lvl w:ilvl="0" w:tplc="EDBE15DA">
      <w:start w:val="1"/>
      <w:numFmt w:val="lowerLetter"/>
      <w:lvlText w:val="%1)"/>
      <w:lvlJc w:val="left"/>
      <w:pPr>
        <w:ind w:left="2585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34A38"/>
    <w:multiLevelType w:val="hybridMultilevel"/>
    <w:tmpl w:val="D1309A94"/>
    <w:lvl w:ilvl="0" w:tplc="1AA6A0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2FA3641"/>
    <w:multiLevelType w:val="singleLevel"/>
    <w:tmpl w:val="DE8AFAA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A7C3867"/>
    <w:multiLevelType w:val="hybridMultilevel"/>
    <w:tmpl w:val="CFAEDA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37464"/>
    <w:multiLevelType w:val="hybridMultilevel"/>
    <w:tmpl w:val="EB6642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11C3C"/>
    <w:multiLevelType w:val="hybridMultilevel"/>
    <w:tmpl w:val="F37C8370"/>
    <w:lvl w:ilvl="0" w:tplc="7AC0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2675B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1B7E93"/>
    <w:multiLevelType w:val="hybridMultilevel"/>
    <w:tmpl w:val="5C661FC0"/>
    <w:lvl w:ilvl="0" w:tplc="83D61B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5FC"/>
    <w:multiLevelType w:val="hybridMultilevel"/>
    <w:tmpl w:val="F1585328"/>
    <w:lvl w:ilvl="0" w:tplc="30105396">
      <w:start w:val="1"/>
      <w:numFmt w:val="lowerLetter"/>
      <w:lvlText w:val="%1)"/>
      <w:lvlJc w:val="left"/>
      <w:pPr>
        <w:tabs>
          <w:tab w:val="num" w:pos="1116"/>
        </w:tabs>
        <w:ind w:left="1116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B823C9D"/>
    <w:multiLevelType w:val="hybridMultilevel"/>
    <w:tmpl w:val="B0AE9B96"/>
    <w:lvl w:ilvl="0" w:tplc="1C789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E1EE3"/>
    <w:multiLevelType w:val="hybridMultilevel"/>
    <w:tmpl w:val="BDB66D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67791"/>
    <w:multiLevelType w:val="hybridMultilevel"/>
    <w:tmpl w:val="312A8E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74335"/>
    <w:multiLevelType w:val="hybridMultilevel"/>
    <w:tmpl w:val="FD30B2FA"/>
    <w:lvl w:ilvl="0" w:tplc="04050011">
      <w:start w:val="1"/>
      <w:numFmt w:val="decimal"/>
      <w:lvlText w:val="%1)"/>
      <w:lvlJc w:val="left"/>
      <w:pPr>
        <w:ind w:left="2585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A587B"/>
    <w:multiLevelType w:val="hybridMultilevel"/>
    <w:tmpl w:val="72E89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A2FD4"/>
    <w:multiLevelType w:val="singleLevel"/>
    <w:tmpl w:val="EFAE8D9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21" w15:restartNumberingAfterBreak="0">
    <w:nsid w:val="5BE240FE"/>
    <w:multiLevelType w:val="hybridMultilevel"/>
    <w:tmpl w:val="5F38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377BA"/>
    <w:multiLevelType w:val="hybridMultilevel"/>
    <w:tmpl w:val="0520F7A2"/>
    <w:lvl w:ilvl="0" w:tplc="E1681618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52644"/>
    <w:multiLevelType w:val="hybridMultilevel"/>
    <w:tmpl w:val="146E25E4"/>
    <w:lvl w:ilvl="0" w:tplc="EDBE15DA">
      <w:start w:val="1"/>
      <w:numFmt w:val="lowerLetter"/>
      <w:lvlText w:val="%1)"/>
      <w:lvlJc w:val="left"/>
      <w:pPr>
        <w:ind w:left="2585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94470"/>
    <w:multiLevelType w:val="hybridMultilevel"/>
    <w:tmpl w:val="6B4E30DE"/>
    <w:lvl w:ilvl="0" w:tplc="62826B1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E21E8"/>
    <w:multiLevelType w:val="hybridMultilevel"/>
    <w:tmpl w:val="058C4D7E"/>
    <w:lvl w:ilvl="0" w:tplc="04050011">
      <w:start w:val="1"/>
      <w:numFmt w:val="decimal"/>
      <w:lvlText w:val="%1)"/>
      <w:lvlJc w:val="left"/>
      <w:pPr>
        <w:ind w:left="2585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07375"/>
    <w:multiLevelType w:val="hybridMultilevel"/>
    <w:tmpl w:val="783E6542"/>
    <w:lvl w:ilvl="0" w:tplc="090EA20A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50C54"/>
    <w:multiLevelType w:val="hybridMultilevel"/>
    <w:tmpl w:val="26CCE630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EDBE15DA">
      <w:start w:val="1"/>
      <w:numFmt w:val="lowerLetter"/>
      <w:lvlText w:val="%3)"/>
      <w:lvlJc w:val="left"/>
      <w:pPr>
        <w:ind w:left="2585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6C1D6414"/>
    <w:multiLevelType w:val="hybridMultilevel"/>
    <w:tmpl w:val="5F38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F43DF"/>
    <w:multiLevelType w:val="hybridMultilevel"/>
    <w:tmpl w:val="FCD414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56771"/>
    <w:multiLevelType w:val="hybridMultilevel"/>
    <w:tmpl w:val="6890EDDC"/>
    <w:lvl w:ilvl="0" w:tplc="A776D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12"/>
  </w:num>
  <w:num w:numId="5">
    <w:abstractNumId w:val="9"/>
  </w:num>
  <w:num w:numId="6">
    <w:abstractNumId w:val="9"/>
  </w:num>
  <w:num w:numId="7">
    <w:abstractNumId w:val="13"/>
  </w:num>
  <w:num w:numId="8">
    <w:abstractNumId w:val="16"/>
  </w:num>
  <w:num w:numId="9">
    <w:abstractNumId w:val="28"/>
  </w:num>
  <w:num w:numId="10">
    <w:abstractNumId w:val="21"/>
  </w:num>
  <w:num w:numId="11">
    <w:abstractNumId w:val="8"/>
  </w:num>
  <w:num w:numId="12">
    <w:abstractNumId w:val="6"/>
  </w:num>
  <w:num w:numId="13">
    <w:abstractNumId w:val="27"/>
  </w:num>
  <w:num w:numId="14">
    <w:abstractNumId w:val="4"/>
  </w:num>
  <w:num w:numId="15">
    <w:abstractNumId w:val="7"/>
  </w:num>
  <w:num w:numId="16">
    <w:abstractNumId w:val="19"/>
  </w:num>
  <w:num w:numId="17">
    <w:abstractNumId w:val="5"/>
  </w:num>
  <w:num w:numId="18">
    <w:abstractNumId w:val="3"/>
  </w:num>
  <w:num w:numId="19">
    <w:abstractNumId w:val="2"/>
  </w:num>
  <w:num w:numId="20">
    <w:abstractNumId w:val="29"/>
  </w:num>
  <w:num w:numId="21">
    <w:abstractNumId w:val="24"/>
  </w:num>
  <w:num w:numId="22">
    <w:abstractNumId w:val="22"/>
  </w:num>
  <w:num w:numId="23">
    <w:abstractNumId w:val="10"/>
  </w:num>
  <w:num w:numId="24">
    <w:abstractNumId w:val="23"/>
  </w:num>
  <w:num w:numId="25">
    <w:abstractNumId w:val="18"/>
  </w:num>
  <w:num w:numId="26">
    <w:abstractNumId w:val="26"/>
  </w:num>
  <w:num w:numId="27">
    <w:abstractNumId w:val="17"/>
  </w:num>
  <w:num w:numId="28">
    <w:abstractNumId w:val="25"/>
  </w:num>
  <w:num w:numId="29">
    <w:abstractNumId w:val="1"/>
  </w:num>
  <w:num w:numId="30">
    <w:abstractNumId w:val="11"/>
  </w:num>
  <w:num w:numId="31">
    <w:abstractNumId w:val="0"/>
  </w:num>
  <w:num w:numId="32">
    <w:abstractNumId w:val="3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09"/>
    <w:rsid w:val="00030EB8"/>
    <w:rsid w:val="000405F6"/>
    <w:rsid w:val="00047871"/>
    <w:rsid w:val="000539CF"/>
    <w:rsid w:val="000558B1"/>
    <w:rsid w:val="00060001"/>
    <w:rsid w:val="00064899"/>
    <w:rsid w:val="00066097"/>
    <w:rsid w:val="0008090F"/>
    <w:rsid w:val="00087A89"/>
    <w:rsid w:val="0009032B"/>
    <w:rsid w:val="00092048"/>
    <w:rsid w:val="000A2AD3"/>
    <w:rsid w:val="000A43E3"/>
    <w:rsid w:val="000B3EEB"/>
    <w:rsid w:val="000B48A4"/>
    <w:rsid w:val="000C2210"/>
    <w:rsid w:val="000D1AE2"/>
    <w:rsid w:val="000D2267"/>
    <w:rsid w:val="000E154C"/>
    <w:rsid w:val="000E7D83"/>
    <w:rsid w:val="00100399"/>
    <w:rsid w:val="00101469"/>
    <w:rsid w:val="00143EBA"/>
    <w:rsid w:val="00150306"/>
    <w:rsid w:val="0015352B"/>
    <w:rsid w:val="0016207A"/>
    <w:rsid w:val="00167946"/>
    <w:rsid w:val="001806C8"/>
    <w:rsid w:val="00181555"/>
    <w:rsid w:val="00183431"/>
    <w:rsid w:val="001926A8"/>
    <w:rsid w:val="001A3821"/>
    <w:rsid w:val="001B46E1"/>
    <w:rsid w:val="001B7B6B"/>
    <w:rsid w:val="001C605A"/>
    <w:rsid w:val="001C7698"/>
    <w:rsid w:val="001C79A1"/>
    <w:rsid w:val="001D3FFE"/>
    <w:rsid w:val="001D50AD"/>
    <w:rsid w:val="001E2D1D"/>
    <w:rsid w:val="001E34DD"/>
    <w:rsid w:val="001E3DF8"/>
    <w:rsid w:val="001F0A75"/>
    <w:rsid w:val="00201258"/>
    <w:rsid w:val="00202D55"/>
    <w:rsid w:val="00203ED6"/>
    <w:rsid w:val="00212685"/>
    <w:rsid w:val="00220A7A"/>
    <w:rsid w:val="00232624"/>
    <w:rsid w:val="00237DD9"/>
    <w:rsid w:val="0024193A"/>
    <w:rsid w:val="002462EA"/>
    <w:rsid w:val="00266B52"/>
    <w:rsid w:val="00274E59"/>
    <w:rsid w:val="002843A7"/>
    <w:rsid w:val="00287625"/>
    <w:rsid w:val="002A6DE5"/>
    <w:rsid w:val="002B1E8C"/>
    <w:rsid w:val="002B2072"/>
    <w:rsid w:val="002B7486"/>
    <w:rsid w:val="002C1D70"/>
    <w:rsid w:val="002D4C22"/>
    <w:rsid w:val="00305AE7"/>
    <w:rsid w:val="00314364"/>
    <w:rsid w:val="0032318B"/>
    <w:rsid w:val="00325DD7"/>
    <w:rsid w:val="00326027"/>
    <w:rsid w:val="00331399"/>
    <w:rsid w:val="00336601"/>
    <w:rsid w:val="00347465"/>
    <w:rsid w:val="00352BC8"/>
    <w:rsid w:val="0036102D"/>
    <w:rsid w:val="00364122"/>
    <w:rsid w:val="00372E99"/>
    <w:rsid w:val="00374F92"/>
    <w:rsid w:val="00377269"/>
    <w:rsid w:val="00381498"/>
    <w:rsid w:val="00383B47"/>
    <w:rsid w:val="00387D51"/>
    <w:rsid w:val="003A73C1"/>
    <w:rsid w:val="003B737E"/>
    <w:rsid w:val="003C492A"/>
    <w:rsid w:val="003D3EA6"/>
    <w:rsid w:val="003D4450"/>
    <w:rsid w:val="003F2431"/>
    <w:rsid w:val="003F6584"/>
    <w:rsid w:val="0040010C"/>
    <w:rsid w:val="00411633"/>
    <w:rsid w:val="004261C5"/>
    <w:rsid w:val="004313F4"/>
    <w:rsid w:val="004504EB"/>
    <w:rsid w:val="00461559"/>
    <w:rsid w:val="004615DE"/>
    <w:rsid w:val="00486337"/>
    <w:rsid w:val="00491E5D"/>
    <w:rsid w:val="004A2F1D"/>
    <w:rsid w:val="004C4A72"/>
    <w:rsid w:val="004C52E9"/>
    <w:rsid w:val="004C6A4A"/>
    <w:rsid w:val="004C783E"/>
    <w:rsid w:val="004E37FF"/>
    <w:rsid w:val="004F0E83"/>
    <w:rsid w:val="00512690"/>
    <w:rsid w:val="00516D67"/>
    <w:rsid w:val="00520B4E"/>
    <w:rsid w:val="00521C2D"/>
    <w:rsid w:val="005229DC"/>
    <w:rsid w:val="00523D47"/>
    <w:rsid w:val="00531A61"/>
    <w:rsid w:val="0053358F"/>
    <w:rsid w:val="00536C34"/>
    <w:rsid w:val="00537C0B"/>
    <w:rsid w:val="00540E9B"/>
    <w:rsid w:val="00541F29"/>
    <w:rsid w:val="00576C06"/>
    <w:rsid w:val="00580A73"/>
    <w:rsid w:val="00584873"/>
    <w:rsid w:val="0059165A"/>
    <w:rsid w:val="00591D79"/>
    <w:rsid w:val="00594822"/>
    <w:rsid w:val="005A109C"/>
    <w:rsid w:val="005A6814"/>
    <w:rsid w:val="005B5ECE"/>
    <w:rsid w:val="005C1AD0"/>
    <w:rsid w:val="005C5556"/>
    <w:rsid w:val="005D30D2"/>
    <w:rsid w:val="005E3B73"/>
    <w:rsid w:val="005F3C7C"/>
    <w:rsid w:val="005F477A"/>
    <w:rsid w:val="005F4931"/>
    <w:rsid w:val="00605652"/>
    <w:rsid w:val="006146F0"/>
    <w:rsid w:val="00615501"/>
    <w:rsid w:val="00616F5F"/>
    <w:rsid w:val="00624955"/>
    <w:rsid w:val="006331FC"/>
    <w:rsid w:val="00633BFB"/>
    <w:rsid w:val="00635698"/>
    <w:rsid w:val="00647A72"/>
    <w:rsid w:val="0065122D"/>
    <w:rsid w:val="00654E58"/>
    <w:rsid w:val="00686C8E"/>
    <w:rsid w:val="006C46ED"/>
    <w:rsid w:val="00715BB2"/>
    <w:rsid w:val="00720432"/>
    <w:rsid w:val="00723030"/>
    <w:rsid w:val="00726361"/>
    <w:rsid w:val="00731074"/>
    <w:rsid w:val="00731098"/>
    <w:rsid w:val="007320CC"/>
    <w:rsid w:val="00740989"/>
    <w:rsid w:val="00753B0B"/>
    <w:rsid w:val="007642BF"/>
    <w:rsid w:val="00764D7C"/>
    <w:rsid w:val="00793AF4"/>
    <w:rsid w:val="007A24D8"/>
    <w:rsid w:val="007A648E"/>
    <w:rsid w:val="007A653C"/>
    <w:rsid w:val="007B51A5"/>
    <w:rsid w:val="007E7F75"/>
    <w:rsid w:val="007F08D3"/>
    <w:rsid w:val="007F49B2"/>
    <w:rsid w:val="00820580"/>
    <w:rsid w:val="00822296"/>
    <w:rsid w:val="00831764"/>
    <w:rsid w:val="0086095A"/>
    <w:rsid w:val="00860CD2"/>
    <w:rsid w:val="008629A0"/>
    <w:rsid w:val="0087117C"/>
    <w:rsid w:val="00874D6C"/>
    <w:rsid w:val="00875F39"/>
    <w:rsid w:val="00884713"/>
    <w:rsid w:val="008A52DD"/>
    <w:rsid w:val="008C1BD4"/>
    <w:rsid w:val="008C4F91"/>
    <w:rsid w:val="008D4D4E"/>
    <w:rsid w:val="008D79D6"/>
    <w:rsid w:val="00903E6A"/>
    <w:rsid w:val="00912E04"/>
    <w:rsid w:val="0091485A"/>
    <w:rsid w:val="00924018"/>
    <w:rsid w:val="00995BAF"/>
    <w:rsid w:val="0099778E"/>
    <w:rsid w:val="009A7509"/>
    <w:rsid w:val="009B6601"/>
    <w:rsid w:val="009C230F"/>
    <w:rsid w:val="009C53E1"/>
    <w:rsid w:val="009D5772"/>
    <w:rsid w:val="009E31CB"/>
    <w:rsid w:val="009F09E5"/>
    <w:rsid w:val="009F349F"/>
    <w:rsid w:val="009F3533"/>
    <w:rsid w:val="00A21320"/>
    <w:rsid w:val="00A451DE"/>
    <w:rsid w:val="00A52E23"/>
    <w:rsid w:val="00A56D0D"/>
    <w:rsid w:val="00A77802"/>
    <w:rsid w:val="00A942C1"/>
    <w:rsid w:val="00AA1D79"/>
    <w:rsid w:val="00AC3785"/>
    <w:rsid w:val="00AC5873"/>
    <w:rsid w:val="00AD40F1"/>
    <w:rsid w:val="00AD50C0"/>
    <w:rsid w:val="00AE7509"/>
    <w:rsid w:val="00AF266A"/>
    <w:rsid w:val="00AF5035"/>
    <w:rsid w:val="00B00DE7"/>
    <w:rsid w:val="00B1409D"/>
    <w:rsid w:val="00B21E4F"/>
    <w:rsid w:val="00B2354D"/>
    <w:rsid w:val="00B24A40"/>
    <w:rsid w:val="00B4758A"/>
    <w:rsid w:val="00B52708"/>
    <w:rsid w:val="00B5402C"/>
    <w:rsid w:val="00B575D5"/>
    <w:rsid w:val="00B60823"/>
    <w:rsid w:val="00B65BB5"/>
    <w:rsid w:val="00B90441"/>
    <w:rsid w:val="00B93125"/>
    <w:rsid w:val="00B96824"/>
    <w:rsid w:val="00BA1138"/>
    <w:rsid w:val="00BA3659"/>
    <w:rsid w:val="00BA6CED"/>
    <w:rsid w:val="00BB02A1"/>
    <w:rsid w:val="00BB4E46"/>
    <w:rsid w:val="00BB55A2"/>
    <w:rsid w:val="00BC13BF"/>
    <w:rsid w:val="00BC39C9"/>
    <w:rsid w:val="00BD3822"/>
    <w:rsid w:val="00BD648A"/>
    <w:rsid w:val="00BE3105"/>
    <w:rsid w:val="00C21729"/>
    <w:rsid w:val="00C276C0"/>
    <w:rsid w:val="00C44643"/>
    <w:rsid w:val="00C44C4A"/>
    <w:rsid w:val="00C47E0E"/>
    <w:rsid w:val="00C66C6D"/>
    <w:rsid w:val="00C73A92"/>
    <w:rsid w:val="00C77C18"/>
    <w:rsid w:val="00C84C56"/>
    <w:rsid w:val="00C8576F"/>
    <w:rsid w:val="00CB555B"/>
    <w:rsid w:val="00CC05BE"/>
    <w:rsid w:val="00CE250F"/>
    <w:rsid w:val="00CF09B2"/>
    <w:rsid w:val="00CF1587"/>
    <w:rsid w:val="00CF481E"/>
    <w:rsid w:val="00CF4B98"/>
    <w:rsid w:val="00CF5AB5"/>
    <w:rsid w:val="00D00419"/>
    <w:rsid w:val="00D01F81"/>
    <w:rsid w:val="00D02FFD"/>
    <w:rsid w:val="00D128C7"/>
    <w:rsid w:val="00D33521"/>
    <w:rsid w:val="00D36A43"/>
    <w:rsid w:val="00D53050"/>
    <w:rsid w:val="00D61F11"/>
    <w:rsid w:val="00D72933"/>
    <w:rsid w:val="00D769DD"/>
    <w:rsid w:val="00D82C5E"/>
    <w:rsid w:val="00D833A0"/>
    <w:rsid w:val="00D87ECE"/>
    <w:rsid w:val="00DA658A"/>
    <w:rsid w:val="00DB580D"/>
    <w:rsid w:val="00DC1BC1"/>
    <w:rsid w:val="00DD1A6C"/>
    <w:rsid w:val="00DD65AC"/>
    <w:rsid w:val="00DF4DAE"/>
    <w:rsid w:val="00E04EF4"/>
    <w:rsid w:val="00E1312F"/>
    <w:rsid w:val="00E25FBD"/>
    <w:rsid w:val="00E40EDB"/>
    <w:rsid w:val="00E43FC7"/>
    <w:rsid w:val="00E45916"/>
    <w:rsid w:val="00E622CF"/>
    <w:rsid w:val="00E874EE"/>
    <w:rsid w:val="00E940EC"/>
    <w:rsid w:val="00E95223"/>
    <w:rsid w:val="00EB111D"/>
    <w:rsid w:val="00ED19A7"/>
    <w:rsid w:val="00ED2A32"/>
    <w:rsid w:val="00EE05B7"/>
    <w:rsid w:val="00EE73F6"/>
    <w:rsid w:val="00EF7FB5"/>
    <w:rsid w:val="00F11F44"/>
    <w:rsid w:val="00F27C6D"/>
    <w:rsid w:val="00F35BF1"/>
    <w:rsid w:val="00F43F0F"/>
    <w:rsid w:val="00F45053"/>
    <w:rsid w:val="00F50344"/>
    <w:rsid w:val="00F577FC"/>
    <w:rsid w:val="00F57F86"/>
    <w:rsid w:val="00F60DE0"/>
    <w:rsid w:val="00F61854"/>
    <w:rsid w:val="00F70366"/>
    <w:rsid w:val="00F72057"/>
    <w:rsid w:val="00F8112F"/>
    <w:rsid w:val="00F82300"/>
    <w:rsid w:val="00F85129"/>
    <w:rsid w:val="00FC4C74"/>
    <w:rsid w:val="00FD6B6D"/>
    <w:rsid w:val="00FE274B"/>
    <w:rsid w:val="00FF02E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370543-6BB8-4746-AC2D-2C31602C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183431"/>
    <w:pPr>
      <w:spacing w:after="120"/>
      <w:jc w:val="both"/>
    </w:pPr>
  </w:style>
  <w:style w:type="paragraph" w:customStyle="1" w:styleId="nadpcent">
    <w:name w:val="nadpcent"/>
    <w:basedOn w:val="Normln"/>
    <w:next w:val="vlevo"/>
    <w:autoRedefine/>
    <w:rsid w:val="009C53E1"/>
    <w:pPr>
      <w:spacing w:before="480" w:after="240"/>
      <w:ind w:right="45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BA3659"/>
    <w:pPr>
      <w:numPr>
        <w:numId w:val="1"/>
      </w:numPr>
      <w:spacing w:before="120" w:after="120"/>
      <w:jc w:val="both"/>
    </w:pPr>
    <w:rPr>
      <w:b/>
      <w:spacing w:val="22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styleId="slostrnky">
    <w:name w:val="page number"/>
    <w:basedOn w:val="Standardnpsmoodstavce"/>
    <w:semiHidden/>
  </w:style>
  <w:style w:type="paragraph" w:customStyle="1" w:styleId="Paragrafneslovan">
    <w:name w:val="Paragraf nečíslovaný"/>
    <w:basedOn w:val="Normln"/>
    <w:autoRedefine/>
    <w:rsid w:val="005F3C7C"/>
    <w:pPr>
      <w:spacing w:after="120"/>
      <w:jc w:val="both"/>
    </w:pPr>
    <w:rPr>
      <w:szCs w:val="20"/>
    </w:rPr>
  </w:style>
  <w:style w:type="paragraph" w:styleId="Zkladntext">
    <w:name w:val="Body Text"/>
    <w:basedOn w:val="Normln"/>
    <w:semiHidden/>
    <w:pPr>
      <w:suppressAutoHyphens/>
      <w:jc w:val="both"/>
    </w:pPr>
    <w:rPr>
      <w:rFonts w:ascii="Garamond" w:hAnsi="Garamond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WW8Num1z5">
    <w:name w:val="WW8Num1z5"/>
    <w:rsid w:val="00AE7509"/>
  </w:style>
  <w:style w:type="character" w:styleId="Siln">
    <w:name w:val="Strong"/>
    <w:qFormat/>
    <w:rsid w:val="00AE7509"/>
    <w:rPr>
      <w:rFonts w:cs="Times New Roman"/>
      <w:b/>
      <w:bCs/>
    </w:rPr>
  </w:style>
  <w:style w:type="paragraph" w:customStyle="1" w:styleId="Odstavecseseznamem2">
    <w:name w:val="Odstavec se seznamem2"/>
    <w:basedOn w:val="Normln"/>
    <w:rsid w:val="00AE750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table" w:styleId="Mkatabulky">
    <w:name w:val="Table Grid"/>
    <w:basedOn w:val="Normlntabulka"/>
    <w:uiPriority w:val="59"/>
    <w:rsid w:val="00D01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E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E5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335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5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352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5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521"/>
    <w:rPr>
      <w:b/>
      <w:bCs/>
    </w:rPr>
  </w:style>
  <w:style w:type="paragraph" w:styleId="Normlnweb">
    <w:name w:val="Normal (Web)"/>
    <w:basedOn w:val="Normln"/>
    <w:rsid w:val="00516D67"/>
    <w:rPr>
      <w:rFonts w:ascii="Arial Unicode MS" w:eastAsia="Arial Unicode MS" w:hAnsi="Arial Unicode MS" w:cs="Arial Unicode MS"/>
    </w:rPr>
  </w:style>
  <w:style w:type="paragraph" w:customStyle="1" w:styleId="Zkladntextodsazen31">
    <w:name w:val="Základní text odsazený 31"/>
    <w:basedOn w:val="Normln"/>
    <w:rsid w:val="00516D67"/>
    <w:pPr>
      <w:ind w:left="284"/>
      <w:jc w:val="both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A681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A681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622CF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C44643"/>
    <w:rPr>
      <w:sz w:val="22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D4D4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D4D4E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8D4D4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8D4D4E"/>
    <w:rPr>
      <w:rFonts w:ascii="Arial" w:hAnsi="Arial" w:cs="Arial"/>
      <w:vanish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36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eseni.plzen.eu/bin_Soubor.php?id=986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neseni.plzen.eu/bin_Soubor.php?id=9869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nkulova\Data%20aplikac&#237;\Microsoft\&#352;ablony\D&#367;vodov&#225;%20zpr&#225;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83DB-6CC3-47BC-B28D-8A8B3594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Důvodová zpráva.dot</Template>
  <TotalTime>24</TotalTime>
  <Pages>3</Pages>
  <Words>1320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</Company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Ing. Markéta Sinkulová</dc:creator>
  <cp:lastModifiedBy>Sokolová Květuše</cp:lastModifiedBy>
  <cp:revision>35</cp:revision>
  <cp:lastPrinted>2018-08-22T12:37:00Z</cp:lastPrinted>
  <dcterms:created xsi:type="dcterms:W3CDTF">2020-10-22T11:38:00Z</dcterms:created>
  <dcterms:modified xsi:type="dcterms:W3CDTF">2020-10-23T08:46:00Z</dcterms:modified>
</cp:coreProperties>
</file>